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53" w:rsidRPr="00744A55" w:rsidRDefault="00CD6753" w:rsidP="009768EF">
      <w:pPr>
        <w:shd w:val="clear" w:color="auto" w:fill="FFFFFF"/>
        <w:tabs>
          <w:tab w:val="left" w:pos="8222"/>
        </w:tabs>
        <w:spacing w:line="320" w:lineRule="exact"/>
        <w:ind w:right="-2"/>
        <w:jc w:val="both"/>
        <w:rPr>
          <w:color w:val="000000"/>
          <w:spacing w:val="-2"/>
          <w:sz w:val="22"/>
        </w:rPr>
      </w:pPr>
    </w:p>
    <w:p w:rsidR="00CD6753" w:rsidRPr="00744A55" w:rsidRDefault="00CD6753" w:rsidP="00744A55">
      <w:pPr>
        <w:shd w:val="clear" w:color="auto" w:fill="FFFFFF"/>
        <w:tabs>
          <w:tab w:val="left" w:pos="7371"/>
        </w:tabs>
        <w:spacing w:line="276" w:lineRule="auto"/>
        <w:ind w:right="25"/>
        <w:jc w:val="right"/>
        <w:rPr>
          <w:color w:val="000000"/>
          <w:spacing w:val="-2"/>
          <w:sz w:val="22"/>
        </w:rPr>
      </w:pPr>
      <w:r w:rsidRPr="00744A55">
        <w:rPr>
          <w:color w:val="000000"/>
          <w:spacing w:val="-2"/>
          <w:sz w:val="22"/>
        </w:rPr>
        <w:t>Приложение 2 к письму</w:t>
      </w:r>
      <w:r w:rsidRPr="00744A55">
        <w:rPr>
          <w:sz w:val="22"/>
        </w:rPr>
        <w:t xml:space="preserve"> </w:t>
      </w:r>
      <w:r w:rsidRPr="00744A55">
        <w:rPr>
          <w:color w:val="000000"/>
          <w:spacing w:val="-2"/>
          <w:sz w:val="22"/>
        </w:rPr>
        <w:t>Департамента</w:t>
      </w:r>
    </w:p>
    <w:p w:rsidR="00CD6753" w:rsidRPr="00744A55" w:rsidRDefault="00CD6753" w:rsidP="00744A55">
      <w:pPr>
        <w:shd w:val="clear" w:color="auto" w:fill="FFFFFF"/>
        <w:tabs>
          <w:tab w:val="left" w:pos="7371"/>
        </w:tabs>
        <w:spacing w:line="276" w:lineRule="auto"/>
        <w:ind w:right="25"/>
        <w:jc w:val="right"/>
        <w:rPr>
          <w:color w:val="000000"/>
          <w:spacing w:val="-2"/>
          <w:sz w:val="22"/>
        </w:rPr>
      </w:pPr>
      <w:r w:rsidRPr="00744A55">
        <w:rPr>
          <w:color w:val="000000"/>
          <w:spacing w:val="-2"/>
          <w:sz w:val="22"/>
        </w:rPr>
        <w:t xml:space="preserve"> тарифного регулирования Томской области</w:t>
      </w:r>
    </w:p>
    <w:p w:rsidR="00CD6753" w:rsidRPr="00CC030D" w:rsidRDefault="00CD6753" w:rsidP="00744A55">
      <w:pPr>
        <w:shd w:val="clear" w:color="auto" w:fill="FFFFFF"/>
        <w:tabs>
          <w:tab w:val="left" w:pos="7371"/>
        </w:tabs>
        <w:spacing w:line="276" w:lineRule="auto"/>
        <w:ind w:right="25"/>
        <w:jc w:val="right"/>
        <w:rPr>
          <w:color w:val="000000"/>
          <w:spacing w:val="-2"/>
          <w:sz w:val="22"/>
          <w:lang w:val="en-US"/>
        </w:rPr>
      </w:pPr>
      <w:r w:rsidRPr="00744A55">
        <w:rPr>
          <w:color w:val="000000"/>
          <w:spacing w:val="-2"/>
          <w:sz w:val="22"/>
        </w:rPr>
        <w:t xml:space="preserve">от </w:t>
      </w:r>
      <w:r w:rsidR="00CC030D">
        <w:rPr>
          <w:color w:val="000000"/>
          <w:spacing w:val="-2"/>
          <w:sz w:val="22"/>
          <w:lang w:val="en-US"/>
        </w:rPr>
        <w:t>21</w:t>
      </w:r>
      <w:r w:rsidRPr="00744A55">
        <w:rPr>
          <w:color w:val="000000"/>
          <w:spacing w:val="-2"/>
          <w:sz w:val="22"/>
        </w:rPr>
        <w:t xml:space="preserve">.04.2016 № </w:t>
      </w:r>
      <w:r w:rsidR="00CC030D">
        <w:rPr>
          <w:color w:val="000000"/>
          <w:spacing w:val="-2"/>
          <w:sz w:val="22"/>
          <w:lang w:val="en-US"/>
        </w:rPr>
        <w:t>53-04-0566</w:t>
      </w:r>
    </w:p>
    <w:p w:rsidR="00CD6753" w:rsidRPr="00744A55" w:rsidRDefault="00CD6753" w:rsidP="00CD6753">
      <w:pPr>
        <w:shd w:val="clear" w:color="auto" w:fill="FFFFFF"/>
        <w:tabs>
          <w:tab w:val="left" w:pos="7371"/>
        </w:tabs>
        <w:spacing w:line="320" w:lineRule="exact"/>
        <w:ind w:right="25"/>
        <w:jc w:val="center"/>
        <w:rPr>
          <w:color w:val="000000"/>
          <w:spacing w:val="-2"/>
          <w:sz w:val="22"/>
        </w:rPr>
      </w:pPr>
    </w:p>
    <w:p w:rsidR="00CD6753" w:rsidRPr="00744A55" w:rsidRDefault="00CD6753" w:rsidP="00CD6753">
      <w:pPr>
        <w:shd w:val="clear" w:color="auto" w:fill="FFFFFF"/>
        <w:tabs>
          <w:tab w:val="left" w:pos="7371"/>
        </w:tabs>
        <w:spacing w:line="320" w:lineRule="exact"/>
        <w:ind w:right="25"/>
        <w:jc w:val="center"/>
        <w:rPr>
          <w:b/>
          <w:color w:val="000000"/>
          <w:spacing w:val="-2"/>
          <w:sz w:val="22"/>
        </w:rPr>
      </w:pPr>
      <w:r w:rsidRPr="00744A55">
        <w:rPr>
          <w:b/>
          <w:color w:val="000000"/>
          <w:spacing w:val="-2"/>
          <w:sz w:val="22"/>
        </w:rPr>
        <w:t>Перечень материалов, рекомендуемых для обоснования предложений регулируемых организаций, осуществляющих деятельность в сфере теплоснабжения</w:t>
      </w:r>
    </w:p>
    <w:p w:rsidR="00CD6753" w:rsidRPr="00744A55" w:rsidRDefault="00CD6753" w:rsidP="00CD6753">
      <w:pPr>
        <w:shd w:val="clear" w:color="auto" w:fill="FFFFFF"/>
        <w:tabs>
          <w:tab w:val="left" w:pos="7371"/>
        </w:tabs>
        <w:spacing w:line="320" w:lineRule="exact"/>
        <w:ind w:right="25"/>
        <w:jc w:val="center"/>
        <w:rPr>
          <w:b/>
          <w:sz w:val="22"/>
          <w:u w:val="single"/>
        </w:rPr>
      </w:pPr>
      <w:r w:rsidRPr="00744A55">
        <w:rPr>
          <w:b/>
          <w:sz w:val="22"/>
          <w:u w:val="single"/>
        </w:rPr>
        <w:t>При предоставлении документов  необходимо учитывать следующее:</w:t>
      </w:r>
    </w:p>
    <w:p w:rsidR="00CD6753" w:rsidRPr="00744A55" w:rsidRDefault="00CD6753" w:rsidP="00CD6753">
      <w:pPr>
        <w:shd w:val="clear" w:color="auto" w:fill="FFFFFF"/>
        <w:tabs>
          <w:tab w:val="left" w:pos="7371"/>
        </w:tabs>
        <w:spacing w:line="320" w:lineRule="exact"/>
        <w:ind w:right="25"/>
        <w:jc w:val="center"/>
        <w:rPr>
          <w:b/>
          <w:sz w:val="22"/>
          <w:u w:val="single"/>
        </w:rPr>
      </w:pP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1. Копии внутренних локальных документов организации, копии договоров (с дополнительными соглашениями)  предоставляются: действующие в 2015, 2016 году и   на предстоящий период регулирования (при наличии)</w:t>
      </w: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2. Копии бухгалтерских, статистических, налоговых документов, подтверждающих фактические доходы и расходы, предоставляются за 2015 год и за период с 01.01.2016 года по состоянию на последнюю отчетную дату 2016 года</w:t>
      </w:r>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 xml:space="preserve">3. </w:t>
      </w:r>
      <w:proofErr w:type="gramStart"/>
      <w:r w:rsidRPr="00744A55">
        <w:rPr>
          <w:sz w:val="22"/>
        </w:rPr>
        <w:t>Расчетные формы (таблицы) предоставляются за периоды: 2013 (факт), 2014 (факт), 2015 (план, утвержденный при тарифном регулировании - факт), 2016 (план, утвержденный при тарифном регулировании, -  ожидаемый факт), предстоящий период регулирования</w:t>
      </w:r>
      <w:proofErr w:type="gramEnd"/>
    </w:p>
    <w:p w:rsidR="00CD6753" w:rsidRPr="00744A55" w:rsidRDefault="00CD6753" w:rsidP="00744A55">
      <w:pPr>
        <w:shd w:val="clear" w:color="auto" w:fill="FFFFFF"/>
        <w:tabs>
          <w:tab w:val="left" w:pos="7371"/>
        </w:tabs>
        <w:spacing w:line="276" w:lineRule="auto"/>
        <w:ind w:right="25"/>
        <w:jc w:val="both"/>
        <w:rPr>
          <w:sz w:val="22"/>
        </w:rPr>
      </w:pPr>
      <w:r w:rsidRPr="00744A55">
        <w:rPr>
          <w:sz w:val="22"/>
        </w:rPr>
        <w:t xml:space="preserve">4. Расчеты организации дополнительно (кроме предоставления на бумажном носителе) должны быть представлены в электронном виде (формат </w:t>
      </w:r>
      <w:r w:rsidRPr="00744A55">
        <w:rPr>
          <w:sz w:val="22"/>
          <w:lang w:val="en-US"/>
        </w:rPr>
        <w:t>EXCEL</w:t>
      </w:r>
      <w:r w:rsidRPr="00744A55">
        <w:rPr>
          <w:sz w:val="22"/>
        </w:rPr>
        <w:t>) с сохранением формул расчета в ячейках.</w:t>
      </w:r>
    </w:p>
    <w:p w:rsidR="0070360F" w:rsidRPr="00744A55" w:rsidRDefault="00CD6753" w:rsidP="00744A55">
      <w:pPr>
        <w:shd w:val="clear" w:color="auto" w:fill="FFFFFF"/>
        <w:tabs>
          <w:tab w:val="left" w:pos="7371"/>
        </w:tabs>
        <w:spacing w:line="276" w:lineRule="auto"/>
        <w:ind w:right="25"/>
        <w:jc w:val="both"/>
        <w:rPr>
          <w:sz w:val="22"/>
        </w:rPr>
      </w:pPr>
      <w:r w:rsidRPr="00744A55">
        <w:rPr>
          <w:sz w:val="22"/>
        </w:rPr>
        <w:t xml:space="preserve">5. </w:t>
      </w:r>
      <w:r w:rsidR="0070360F" w:rsidRPr="00744A55">
        <w:rPr>
          <w:sz w:val="22"/>
        </w:rPr>
        <w:t>И</w:t>
      </w:r>
      <w:r w:rsidRPr="00744A55">
        <w:rPr>
          <w:sz w:val="22"/>
        </w:rPr>
        <w:t>нформация по порядку пр</w:t>
      </w:r>
      <w:r w:rsidR="002C35B4" w:rsidRPr="00744A55">
        <w:rPr>
          <w:sz w:val="22"/>
        </w:rPr>
        <w:t>е</w:t>
      </w:r>
      <w:r w:rsidRPr="00744A55">
        <w:rPr>
          <w:sz w:val="22"/>
        </w:rPr>
        <w:t xml:space="preserve">дставления предложений </w:t>
      </w:r>
      <w:r w:rsidR="002C35B4" w:rsidRPr="00744A55">
        <w:rPr>
          <w:sz w:val="22"/>
        </w:rPr>
        <w:t xml:space="preserve">об установлении тарифов теплоснабжающими </w:t>
      </w:r>
      <w:r w:rsidRPr="00744A55">
        <w:rPr>
          <w:sz w:val="22"/>
        </w:rPr>
        <w:t>организаци</w:t>
      </w:r>
      <w:r w:rsidR="002C35B4" w:rsidRPr="00744A55">
        <w:rPr>
          <w:sz w:val="22"/>
        </w:rPr>
        <w:t>ями</w:t>
      </w:r>
      <w:r w:rsidRPr="00744A55">
        <w:rPr>
          <w:sz w:val="22"/>
        </w:rPr>
        <w:t xml:space="preserve"> </w:t>
      </w:r>
      <w:r w:rsidR="002C35B4" w:rsidRPr="00744A55">
        <w:rPr>
          <w:b/>
          <w:i/>
          <w:sz w:val="22"/>
        </w:rPr>
        <w:t>(для организаций, осуществляющих производство тепловой энергии не в режиме комбинированной выработки)</w:t>
      </w:r>
      <w:r w:rsidR="002C35B4" w:rsidRPr="00744A55">
        <w:rPr>
          <w:sz w:val="22"/>
        </w:rPr>
        <w:t xml:space="preserve"> в формате шаблонов ЕИАС (электронная форма сбора данных) </w:t>
      </w:r>
      <w:r w:rsidRPr="00744A55">
        <w:rPr>
          <w:sz w:val="22"/>
        </w:rPr>
        <w:t xml:space="preserve">по системе ЕИАС </w:t>
      </w:r>
      <w:r w:rsidR="0070360F" w:rsidRPr="00744A55">
        <w:rPr>
          <w:sz w:val="22"/>
        </w:rPr>
        <w:t xml:space="preserve">через Региональный сегмент данных Федеральной </w:t>
      </w:r>
      <w:r w:rsidR="0070360F" w:rsidRPr="00884F94">
        <w:rPr>
          <w:sz w:val="22"/>
        </w:rPr>
        <w:t>государственной информаци</w:t>
      </w:r>
      <w:r w:rsidR="002C35B4" w:rsidRPr="00884F94">
        <w:rPr>
          <w:sz w:val="22"/>
        </w:rPr>
        <w:t>онной</w:t>
      </w:r>
      <w:r w:rsidR="0070360F" w:rsidRPr="00884F94">
        <w:rPr>
          <w:sz w:val="22"/>
        </w:rPr>
        <w:t xml:space="preserve"> системы </w:t>
      </w:r>
      <w:r w:rsidR="002C35B4" w:rsidRPr="00884F94">
        <w:rPr>
          <w:sz w:val="22"/>
        </w:rPr>
        <w:t xml:space="preserve">(далее - РСД ЕИАС Томской области) </w:t>
      </w:r>
      <w:r w:rsidR="0070360F" w:rsidRPr="00884F94">
        <w:rPr>
          <w:sz w:val="22"/>
        </w:rPr>
        <w:t xml:space="preserve">размещена отдельным письмом </w:t>
      </w:r>
      <w:r w:rsidR="002C35B4" w:rsidRPr="00884F94">
        <w:rPr>
          <w:sz w:val="22"/>
        </w:rPr>
        <w:t xml:space="preserve">на сайте </w:t>
      </w:r>
      <w:r w:rsidR="0070360F" w:rsidRPr="00884F94">
        <w:rPr>
          <w:sz w:val="22"/>
        </w:rPr>
        <w:t xml:space="preserve">Департамента </w:t>
      </w:r>
      <w:r w:rsidR="002C35B4" w:rsidRPr="00884F94">
        <w:rPr>
          <w:sz w:val="22"/>
        </w:rPr>
        <w:t>(</w:t>
      </w:r>
      <w:hyperlink r:id="rId9" w:history="1">
        <w:r w:rsidR="00884F94" w:rsidRPr="00933B7D">
          <w:rPr>
            <w:rStyle w:val="aa"/>
            <w:sz w:val="22"/>
          </w:rPr>
          <w:t>http://rec.tomsk.gov.ru/news-11151.html</w:t>
        </w:r>
      </w:hyperlink>
      <w:proofErr w:type="gramStart"/>
      <w:r w:rsidR="00884F94" w:rsidRPr="00884F94">
        <w:rPr>
          <w:sz w:val="22"/>
        </w:rPr>
        <w:t xml:space="preserve"> </w:t>
      </w:r>
      <w:r w:rsidR="00D2461B" w:rsidRPr="00884F94">
        <w:rPr>
          <w:sz w:val="22"/>
        </w:rPr>
        <w:t>)</w:t>
      </w:r>
      <w:proofErr w:type="gramEnd"/>
      <w:r w:rsidR="00D2461B" w:rsidRPr="00884F94">
        <w:rPr>
          <w:sz w:val="22"/>
        </w:rPr>
        <w:t>.</w:t>
      </w:r>
      <w:bookmarkStart w:id="0" w:name="_GoBack"/>
      <w:bookmarkEnd w:id="0"/>
    </w:p>
    <w:tbl>
      <w:tblPr>
        <w:tblW w:w="10207" w:type="dxa"/>
        <w:tblInd w:w="-34" w:type="dxa"/>
        <w:tblLayout w:type="fixed"/>
        <w:tblLook w:val="04A0" w:firstRow="1" w:lastRow="0" w:firstColumn="1" w:lastColumn="0" w:noHBand="0" w:noVBand="1"/>
      </w:tblPr>
      <w:tblGrid>
        <w:gridCol w:w="851"/>
        <w:gridCol w:w="7371"/>
        <w:gridCol w:w="992"/>
        <w:gridCol w:w="993"/>
      </w:tblGrid>
      <w:tr w:rsidR="0070360F" w:rsidRPr="00744A55" w:rsidTr="002C35B4">
        <w:trPr>
          <w:trHeight w:val="645"/>
          <w:tblHeader/>
        </w:trPr>
        <w:tc>
          <w:tcPr>
            <w:tcW w:w="851" w:type="dxa"/>
            <w:vMerge w:val="restart"/>
            <w:tcBorders>
              <w:top w:val="single" w:sz="8" w:space="0" w:color="auto"/>
              <w:left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w:t>
            </w:r>
            <w:proofErr w:type="spellStart"/>
            <w:r w:rsidRPr="00744A55">
              <w:rPr>
                <w:color w:val="000000"/>
                <w:sz w:val="22"/>
              </w:rPr>
              <w:t>пп</w:t>
            </w:r>
            <w:proofErr w:type="spellEnd"/>
          </w:p>
        </w:tc>
        <w:tc>
          <w:tcPr>
            <w:tcW w:w="7371" w:type="dxa"/>
            <w:vMerge w:val="restart"/>
            <w:tcBorders>
              <w:top w:val="single" w:sz="8" w:space="0" w:color="auto"/>
              <w:left w:val="nil"/>
              <w:right w:val="single" w:sz="8" w:space="0" w:color="auto"/>
            </w:tcBorders>
            <w:shd w:val="clear" w:color="auto" w:fill="auto"/>
            <w:vAlign w:val="center"/>
            <w:hideMark/>
          </w:tcPr>
          <w:p w:rsidR="0070360F" w:rsidRPr="00744A55" w:rsidRDefault="0070360F" w:rsidP="0070360F">
            <w:pPr>
              <w:jc w:val="center"/>
              <w:rPr>
                <w:bCs/>
                <w:iCs/>
                <w:color w:val="262626"/>
                <w:sz w:val="22"/>
              </w:rPr>
            </w:pPr>
            <w:r w:rsidRPr="00744A55">
              <w:rPr>
                <w:bCs/>
                <w:iCs/>
                <w:color w:val="262626"/>
                <w:sz w:val="22"/>
              </w:rPr>
              <w:t>Перечень предоставляемых документов</w:t>
            </w:r>
          </w:p>
        </w:tc>
        <w:tc>
          <w:tcPr>
            <w:tcW w:w="1985" w:type="dxa"/>
            <w:gridSpan w:val="2"/>
            <w:tcBorders>
              <w:top w:val="single" w:sz="8" w:space="0" w:color="auto"/>
              <w:left w:val="nil"/>
              <w:bottom w:val="single" w:sz="8" w:space="0" w:color="auto"/>
              <w:right w:val="single" w:sz="8" w:space="0" w:color="auto"/>
            </w:tcBorders>
            <w:shd w:val="clear" w:color="auto" w:fill="auto"/>
            <w:vAlign w:val="center"/>
          </w:tcPr>
          <w:p w:rsidR="0070360F" w:rsidRPr="00744A55" w:rsidRDefault="0070360F" w:rsidP="0070360F">
            <w:pPr>
              <w:jc w:val="center"/>
              <w:rPr>
                <w:bCs/>
                <w:iCs/>
                <w:color w:val="262626"/>
                <w:sz w:val="22"/>
              </w:rPr>
            </w:pPr>
            <w:r w:rsidRPr="00744A55">
              <w:rPr>
                <w:bCs/>
                <w:iCs/>
                <w:color w:val="262626"/>
                <w:sz w:val="22"/>
              </w:rPr>
              <w:t>Обязательность предоставления</w:t>
            </w:r>
          </w:p>
          <w:p w:rsidR="0070360F" w:rsidRPr="00744A55" w:rsidRDefault="0070360F" w:rsidP="0070360F">
            <w:pPr>
              <w:jc w:val="center"/>
              <w:rPr>
                <w:b/>
                <w:bCs/>
                <w:i/>
                <w:iCs/>
                <w:color w:val="262626"/>
                <w:sz w:val="22"/>
              </w:rPr>
            </w:pPr>
            <w:r w:rsidRPr="00744A55">
              <w:rPr>
                <w:bCs/>
                <w:iCs/>
                <w:color w:val="262626"/>
                <w:sz w:val="22"/>
              </w:rPr>
              <w:t>(«</w:t>
            </w:r>
            <w:r w:rsidRPr="00744A55">
              <w:rPr>
                <w:bCs/>
                <w:iCs/>
                <w:color w:val="262626"/>
                <w:sz w:val="22"/>
                <w:lang w:val="en-US"/>
              </w:rPr>
              <w:t>v</w:t>
            </w:r>
            <w:r w:rsidRPr="00744A55">
              <w:rPr>
                <w:bCs/>
                <w:iCs/>
                <w:color w:val="262626"/>
                <w:sz w:val="22"/>
              </w:rPr>
              <w:t>» - документ представляется)</w:t>
            </w:r>
          </w:p>
        </w:tc>
      </w:tr>
      <w:tr w:rsidR="0070360F" w:rsidRPr="00744A55" w:rsidTr="002C35B4">
        <w:trPr>
          <w:trHeight w:val="330"/>
          <w:tblHeader/>
        </w:trPr>
        <w:tc>
          <w:tcPr>
            <w:tcW w:w="851" w:type="dxa"/>
            <w:vMerge/>
            <w:tcBorders>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p>
        </w:tc>
        <w:tc>
          <w:tcPr>
            <w:tcW w:w="7371" w:type="dxa"/>
            <w:vMerge/>
            <w:tcBorders>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D437ED">
            <w:pPr>
              <w:jc w:val="center"/>
              <w:rPr>
                <w:bCs/>
                <w:iCs/>
                <w:color w:val="262626"/>
                <w:sz w:val="22"/>
              </w:rPr>
            </w:pPr>
            <w:r w:rsidRPr="00744A55">
              <w:rPr>
                <w:bCs/>
                <w:iCs/>
                <w:color w:val="262626"/>
                <w:sz w:val="22"/>
              </w:rPr>
              <w:t xml:space="preserve">При подаче предложений об установлении тарифов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bCs/>
                <w:iCs/>
                <w:color w:val="262626"/>
                <w:sz w:val="22"/>
              </w:rPr>
            </w:pPr>
            <w:r w:rsidRPr="00744A55">
              <w:rPr>
                <w:bCs/>
                <w:iCs/>
                <w:color w:val="262626"/>
                <w:sz w:val="22"/>
              </w:rPr>
              <w:t>При подаче предложений на корректировку НВВ и тарифов</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tcPr>
          <w:p w:rsidR="0070360F" w:rsidRPr="00744A55" w:rsidRDefault="0070360F" w:rsidP="0070360F">
            <w:pPr>
              <w:jc w:val="center"/>
              <w:rPr>
                <w:color w:val="000000"/>
                <w:sz w:val="22"/>
              </w:rPr>
            </w:pPr>
            <w:r w:rsidRPr="00744A55">
              <w:rPr>
                <w:color w:val="000000"/>
                <w:sz w:val="22"/>
              </w:rPr>
              <w:t>1</w:t>
            </w:r>
          </w:p>
        </w:tc>
        <w:tc>
          <w:tcPr>
            <w:tcW w:w="9356" w:type="dxa"/>
            <w:gridSpan w:val="3"/>
            <w:tcBorders>
              <w:top w:val="nil"/>
              <w:left w:val="nil"/>
              <w:bottom w:val="single" w:sz="8" w:space="0" w:color="auto"/>
              <w:right w:val="single" w:sz="8" w:space="0" w:color="auto"/>
            </w:tcBorders>
            <w:shd w:val="clear" w:color="auto" w:fill="auto"/>
            <w:vAlign w:val="center"/>
          </w:tcPr>
          <w:p w:rsidR="0070360F" w:rsidRPr="00744A55" w:rsidRDefault="0070360F" w:rsidP="0070360F">
            <w:pPr>
              <w:rPr>
                <w:b/>
                <w:bCs/>
                <w:i/>
                <w:iCs/>
                <w:color w:val="262626"/>
                <w:sz w:val="22"/>
              </w:rPr>
            </w:pPr>
            <w:r w:rsidRPr="00744A55">
              <w:rPr>
                <w:b/>
                <w:bCs/>
                <w:i/>
                <w:iCs/>
                <w:color w:val="262626"/>
                <w:sz w:val="22"/>
              </w:rPr>
              <w:t>копии документов организации:</w:t>
            </w:r>
          </w:p>
        </w:tc>
      </w:tr>
      <w:tr w:rsidR="0070360F" w:rsidRPr="00744A55" w:rsidTr="00744A55">
        <w:trPr>
          <w:trHeight w:val="2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Устав организации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0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копия информационного письма территориального органа Федеральной службы государственной статистики об учете хозяйствующего субъекта в Едином государственном регистре предприятий и организаций всех форм собственности и хозяйствования (ЕГРПО)</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уведомления об освобождении от обязанностей налогоплательщика НДС в соответствии со ст.145 НК РФ</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8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копия уведомления (заявления организации с отметкой налогового органа) о возможности применения упрощенной системы налогообложения (УСН)</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18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положения о порядке проведения регламентированных закупок товаров, работ услуг, для нужд предприятия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документа о назначении лица, имеющего право действовать от имени организации без доверенности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80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2</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документы, обосновывающие право владения,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свидетельства на право собственности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договора купли-продажи с актами приемки-передачи и актами ввода в эксплуатацию имущества, используемого для осуществления регулируемой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используемые для осуществления регулируемой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8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сведения о кадастровом паспорте земельного участка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9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договора аренды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2.5.1.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зарегистрированного в юстиции договора аренды недвижимого имущества, находящегося в аренде со сроком более 1 года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копии актов приема-передачи имущества к договору аренды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договора субаренды с актами приема-передачи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договора лизинга с актами приема-передачи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концессионного соглашения с актами приема-передачи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копии конкурсной документации и документации о проведении открытых торгов, об аукционе на заключение договора арендной платы, концессионного договора, договора лизинга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договора оперативного управления с актами приема-передачи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договора хозяйственного ведения с актами приемки-передачи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договора безвозмездного пользования имуществом с актами приемки-передачи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копия договора доверительного управления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2.15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расшифровка арендной платы (концессионной платы, лизингового платежа) с указанием размера амортизации,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(с расшифровкой по каждому объекту))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бухгалтерская, налоговая  и статистическая отчетность за предшествующий период регулирования и на последнюю отчетную дату, с отметкой налоговой инспекции и органов государственной статистки: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 1 «Бухгалтерский баланс»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 2 «Отчет о финансовых результатах»</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№3  «Отчет об изменениях капитала»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форма №4 «Отчет о движении денежных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3.5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№6  «Отчет о целевом использовании полученных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пояснительная записка к годовому бухгалтерскому балансу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1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расшифровка строк отчета о финансовых результатах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аудиторское заключение к бухгалтерскому балансу (для организаций, в которых обязательно проводится аудит)</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«Книга доходов и расходов» (для организаций применяющих упрощенную систему налогообложения)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главной книги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1-предприятия «Основные сведения о деятельности организации»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форма № 5-з «Сведения о затратах на производство и реализацию продукции (работ, услуг)»</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 П-4 «Сведения о численности и заработной плате работников»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форма №1-Т «Сведения о численности и заработной плате работников»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форма № 22-ЖКХ (сводная)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 форма № 1-ТЕП «Сведения о снабжении </w:t>
            </w:r>
            <w:proofErr w:type="spellStart"/>
            <w:r w:rsidRPr="00744A55">
              <w:rPr>
                <w:sz w:val="22"/>
              </w:rPr>
              <w:t>теплоэнергией</w:t>
            </w:r>
            <w:proofErr w:type="spellEnd"/>
            <w:r w:rsidRPr="00744A55">
              <w:rPr>
                <w:sz w:val="22"/>
              </w:rPr>
              <w:t>»</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 форма 6-Т «Отчетная калькуляция себестоимости отпущенной тепловой энергии»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 форма 6-т </w:t>
            </w:r>
            <w:proofErr w:type="spellStart"/>
            <w:r w:rsidRPr="00744A55">
              <w:rPr>
                <w:sz w:val="22"/>
              </w:rPr>
              <w:t>цо</w:t>
            </w:r>
            <w:proofErr w:type="spellEnd"/>
            <w:r w:rsidRPr="00744A55">
              <w:rPr>
                <w:sz w:val="22"/>
              </w:rPr>
              <w:t xml:space="preserve"> «Отчетная калькуляция себестоимости полезно отпущенной тепловой энергии на центральное отопление»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3.19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 форма 6-гвс «отчетная калькуляция себестоимости услуг по горячему водоснабжению»</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налоговая декларация по налогу на прибыль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налоговая декларация по налогу на имущество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налоговая декларация по налогу на землю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налоговая декларация по транспортному налогу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налоговая декларация по водному налогу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бухгалтерские и налоговые  регистры, подтверждающие обоснование фактических расходов по счетам затрат по регулируемому виду деятельности, в разрезе статей затрат или номенклатуры счетов затрат (анализ счета, </w:t>
            </w:r>
            <w:proofErr w:type="spellStart"/>
            <w:r w:rsidRPr="00744A55">
              <w:rPr>
                <w:color w:val="262626"/>
                <w:sz w:val="22"/>
              </w:rPr>
              <w:t>оборотно</w:t>
            </w:r>
            <w:proofErr w:type="spellEnd"/>
            <w:r w:rsidRPr="00744A55">
              <w:rPr>
                <w:color w:val="262626"/>
                <w:sz w:val="22"/>
              </w:rPr>
              <w:t xml:space="preserve"> </w:t>
            </w:r>
            <w:proofErr w:type="gramStart"/>
            <w:r w:rsidRPr="00744A55">
              <w:rPr>
                <w:color w:val="262626"/>
                <w:sz w:val="22"/>
              </w:rPr>
              <w:t>-с</w:t>
            </w:r>
            <w:proofErr w:type="gramEnd"/>
            <w:r w:rsidRPr="00744A55">
              <w:rPr>
                <w:color w:val="262626"/>
                <w:sz w:val="22"/>
              </w:rPr>
              <w:t>альдовая ведомость),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-01 «Основные средства»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2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-02 «Амортизация основных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16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-08 «Вложения во </w:t>
            </w:r>
            <w:proofErr w:type="spellStart"/>
            <w:r w:rsidRPr="00744A55">
              <w:rPr>
                <w:color w:val="262626"/>
                <w:sz w:val="22"/>
              </w:rPr>
              <w:t>внеоборотные</w:t>
            </w:r>
            <w:proofErr w:type="spellEnd"/>
            <w:r w:rsidRPr="00744A55">
              <w:rPr>
                <w:color w:val="262626"/>
                <w:sz w:val="22"/>
              </w:rPr>
              <w:t xml:space="preserve"> активы»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9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-10 «Материалы»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8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-20 «Основное производство»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w:t>
            </w:r>
            <w:r w:rsidRPr="00744A55">
              <w:rPr>
                <w:color w:val="262626"/>
                <w:sz w:val="22"/>
              </w:rPr>
              <w:lastRenderedPageBreak/>
              <w:t>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lastRenderedPageBreak/>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-23 «Вспомогательные производства» (по видам вспомогательных производств)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13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-25 «Общепроизводственные расходы»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13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-26 «Общехозяйственные расходы»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-29 «Обслуживающие производства и хозяйства»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-44 «Расходы на продажу»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-60 «Расчеты с поставщиками и подрядчиками»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-62 «Расчеты с покупателями и заказчиками»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-68 «Расчеты по налогам и сборам»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-69 «Расчеты по социальному страхованию и обеспечению»</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-70 «Расчеты с персоналом по оплате труда»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-71 «Расчеты с подотчетными лицами»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-76 «Расчеты с разными дебиторами и кредиторами»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-90 «Продажи»: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1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себестоимость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выручка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200" w:firstLine="440"/>
              <w:rPr>
                <w:color w:val="262626"/>
                <w:sz w:val="22"/>
              </w:rPr>
            </w:pPr>
            <w:r w:rsidRPr="00744A55">
              <w:rPr>
                <w:color w:val="262626"/>
                <w:sz w:val="22"/>
              </w:rPr>
              <w:t>- НДС.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97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200" w:firstLine="440"/>
              <w:rPr>
                <w:color w:val="262626"/>
                <w:sz w:val="22"/>
              </w:rPr>
            </w:pPr>
            <w:r w:rsidRPr="00744A55">
              <w:rPr>
                <w:color w:val="262626"/>
                <w:sz w:val="22"/>
              </w:rPr>
              <w:t>- прибыль/убыток продаж (по видам деятельности (регулируемые виды деятельности должны быть разбиты по каждому установленному тарифу; нерегулируемые виды деятельности без разбивки по видам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-91 «Прочие доходы и расходы»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- 91.1. «Прочие доходы»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- 91.2. «Прочие расходы»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-99 «Прибыли и Убытки»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счета и </w:t>
            </w:r>
            <w:proofErr w:type="spellStart"/>
            <w:r w:rsidRPr="00744A55">
              <w:rPr>
                <w:color w:val="262626"/>
                <w:sz w:val="22"/>
              </w:rPr>
              <w:t>субсчета</w:t>
            </w:r>
            <w:proofErr w:type="spellEnd"/>
            <w:r w:rsidRPr="00744A55">
              <w:rPr>
                <w:color w:val="262626"/>
                <w:sz w:val="22"/>
              </w:rPr>
              <w:t xml:space="preserve"> учитывающие расходы по  регулируемым видам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отчет по движению основных средств (с указанием балансовой и остаточной стоимости, срока полезного использования, начисленной амортизации)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налоговые регистры в части расходов, принимаемых для налогового учета по налогу на прибыль</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3.29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расшифровка </w:t>
            </w:r>
            <w:proofErr w:type="gramStart"/>
            <w:r w:rsidRPr="00744A55">
              <w:rPr>
                <w:color w:val="262626"/>
                <w:sz w:val="22"/>
              </w:rPr>
              <w:t>налоговых</w:t>
            </w:r>
            <w:proofErr w:type="gramEnd"/>
            <w:r w:rsidRPr="00744A55">
              <w:rPr>
                <w:color w:val="262626"/>
                <w:sz w:val="22"/>
              </w:rPr>
              <w:t xml:space="preserve"> разниц учитываемых при определении налоговой прибыли (убытка)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3.30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налоговые регистры в части расходов, принимаемых при определении налогооблагаемой базы по упрощенной системе налогообложения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5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3.31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расшифровка </w:t>
            </w:r>
            <w:proofErr w:type="gramStart"/>
            <w:r w:rsidRPr="00744A55">
              <w:rPr>
                <w:color w:val="262626"/>
                <w:sz w:val="22"/>
              </w:rPr>
              <w:t>налоговых</w:t>
            </w:r>
            <w:proofErr w:type="gramEnd"/>
            <w:r w:rsidRPr="00744A55">
              <w:rPr>
                <w:color w:val="262626"/>
                <w:sz w:val="22"/>
              </w:rPr>
              <w:t xml:space="preserve"> разниц учитываемых налогооблагаемой базы по упрощенной системе налогообложения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3.32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 копия  приказа об утверждении учетной политики организации, содержащей положения о раздельном учете затрат в соответствии с законодательством, и рабочий план бухгалтерских счетов.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приобретение материалов, текущее обслуживание и текущий и капитальный ремонт (подрядным и хозяйственным способом):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затрат на приобретение основных и вспомогательных материалов в целом по предприятию и в разрезе структурных подразделений по регулируемому виду деятельности (перечень материалов для обслуживания и ремонта производственного оборудования, с указанием объектов ремонта, количества и цены)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расчет затрат на приобретение хим. реагентов, заполнителей фильтров (цель применения – водоподготовка, дезинсекция сетей, резервуаров и т.п.). Обоснование необходимости в </w:t>
            </w:r>
            <w:proofErr w:type="spellStart"/>
            <w:r w:rsidRPr="00744A55">
              <w:rPr>
                <w:color w:val="262626"/>
                <w:sz w:val="22"/>
              </w:rPr>
              <w:t>химреагентах</w:t>
            </w:r>
            <w:proofErr w:type="spellEnd"/>
            <w:r w:rsidRPr="00744A55">
              <w:rPr>
                <w:color w:val="262626"/>
                <w:sz w:val="22"/>
              </w:rPr>
              <w:t xml:space="preserve"> и заполнителей фильтров со ссылкой на нормативные документы, отчет </w:t>
            </w:r>
            <w:proofErr w:type="gramStart"/>
            <w:r w:rsidRPr="00744A55">
              <w:rPr>
                <w:color w:val="262626"/>
                <w:sz w:val="22"/>
              </w:rPr>
              <w:t>о</w:t>
            </w:r>
            <w:proofErr w:type="gramEnd"/>
            <w:r w:rsidRPr="00744A55">
              <w:rPr>
                <w:color w:val="262626"/>
                <w:sz w:val="22"/>
              </w:rPr>
              <w:t xml:space="preserve"> использовании </w:t>
            </w:r>
            <w:proofErr w:type="spellStart"/>
            <w:r w:rsidRPr="00744A55">
              <w:rPr>
                <w:color w:val="262626"/>
                <w:sz w:val="22"/>
              </w:rPr>
              <w:t>химреагентов</w:t>
            </w:r>
            <w:proofErr w:type="spellEnd"/>
            <w:r w:rsidRPr="00744A55">
              <w:rPr>
                <w:color w:val="262626"/>
                <w:sz w:val="22"/>
              </w:rPr>
              <w:t xml:space="preserve"> и </w:t>
            </w:r>
            <w:proofErr w:type="spellStart"/>
            <w:r w:rsidRPr="00744A55">
              <w:rPr>
                <w:color w:val="262626"/>
                <w:sz w:val="22"/>
              </w:rPr>
              <w:t>заполнительной</w:t>
            </w:r>
            <w:proofErr w:type="spellEnd"/>
            <w:r w:rsidRPr="00744A55">
              <w:rPr>
                <w:color w:val="262626"/>
                <w:sz w:val="22"/>
              </w:rPr>
              <w:t xml:space="preserve"> в базовом периоде.</w:t>
            </w:r>
            <w:r w:rsidRPr="00744A55">
              <w:rPr>
                <w:color w:val="000000"/>
                <w:sz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333333"/>
                <w:sz w:val="22"/>
              </w:rPr>
            </w:pPr>
            <w:r w:rsidRPr="00744A55">
              <w:rPr>
                <w:color w:val="333333"/>
                <w:sz w:val="22"/>
              </w:rPr>
              <w:t xml:space="preserve">документы, подтверждающие фактические расходы  по проведению работ хозяйственным способом (расчет средств на оплату труда, копии договоров поставки основных и вспомогательных материалов по регулируемому виду деятельности, дефектные ведомости, отчет о выполнении ремонтной программы, акты списания материалов, </w:t>
            </w:r>
            <w:proofErr w:type="gramStart"/>
            <w:r w:rsidRPr="00744A55">
              <w:rPr>
                <w:color w:val="333333"/>
                <w:sz w:val="22"/>
              </w:rPr>
              <w:t>счет-фактуры</w:t>
            </w:r>
            <w:proofErr w:type="gramEnd"/>
            <w:r w:rsidRPr="00744A55">
              <w:rPr>
                <w:color w:val="333333"/>
                <w:sz w:val="22"/>
              </w:rPr>
              <w:t xml:space="preserve"> на материалы,  утвержденные нормы расходов материалов)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5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333333"/>
                <w:sz w:val="22"/>
              </w:rPr>
            </w:pPr>
            <w:r w:rsidRPr="00744A55">
              <w:rPr>
                <w:color w:val="333333"/>
                <w:sz w:val="22"/>
              </w:rPr>
              <w:t>документы, обосновывающие расходы</w:t>
            </w:r>
            <w:r w:rsidRPr="00744A55">
              <w:rPr>
                <w:color w:val="000000"/>
                <w:sz w:val="22"/>
              </w:rPr>
              <w:t xml:space="preserve"> </w:t>
            </w:r>
            <w:r w:rsidRPr="00744A55">
              <w:rPr>
                <w:color w:val="333333"/>
                <w:sz w:val="22"/>
              </w:rPr>
              <w:t>по проведению работ хозяйственным способом на предстоящий период регулирования  (расчет средств на оплату труда при выполнении ремонтных работ хозяйственным способом, копии договоров поставки основных и вспомогательных материалов по регулируемому виду деятельности, дефектные ведомости, планы-графики ремонтов,  утвержденные нормы расходов материалов, прайс-листы)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документы, обосновывающие расходы по проведению работ подрядным способом (планы-графики ремонтов, акты и </w:t>
            </w:r>
            <w:proofErr w:type="gramStart"/>
            <w:r w:rsidRPr="00744A55">
              <w:rPr>
                <w:color w:val="262626"/>
                <w:sz w:val="22"/>
              </w:rPr>
              <w:t>счет-фактуры</w:t>
            </w:r>
            <w:proofErr w:type="gramEnd"/>
            <w:r w:rsidRPr="00744A55">
              <w:rPr>
                <w:color w:val="262626"/>
                <w:sz w:val="22"/>
              </w:rPr>
              <w:t xml:space="preserve"> по выполненным работам и оказанным услугам подрядными организациями, договоры с подрядными организациями, проектно-сметная документация)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предписания уполномоченных государственных контролирующих (надзорных) органов об устранении нарушений на теплоисточниках и тепловых сетях. Отчет о выполнении предписаний.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предписания уполномоченных государственных контролирующих (надзорных) органов об устранении нарушений на объектах водоснабжения (водоотведения) и водопроводных (канализационных) сетях. Отчет о выполнении предписаний.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4.8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расчет затрат на регламентные (с перечнем выполняемых регламентных работ) и пусконаладочные (режимно-наладочные) работы в разрезе объектов (оборудования), эксплуатируемых при осуществлении регулируемых видов деятельности, с указанием ссылки на нормативные документы регламентирующие периодичность проведения вышеперечисленных работ.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копии договоров на оказание услуг по проведению регламентных и пуско-наладочных работ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4.10.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копии документов, подтверждающих проведение заявителем торгов (извещение, документация о проведении торгов, протоколы, составляемые в ходе проведения торгов) на проведение ремонтных работ</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22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1"/>
              <w:rPr>
                <w:b/>
                <w:bCs/>
                <w:i/>
                <w:iCs/>
                <w:color w:val="262626"/>
                <w:sz w:val="22"/>
              </w:rPr>
            </w:pPr>
            <w:r w:rsidRPr="00744A55">
              <w:rPr>
                <w:b/>
                <w:bCs/>
                <w:i/>
                <w:iCs/>
                <w:color w:val="262626"/>
                <w:sz w:val="22"/>
              </w:rPr>
              <w:t>обоснования к расчету амортизационных отчислений и арендной платы: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сводная ведомость по вводу в эксплуатацию основных средств и НМА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FF0000"/>
                <w:sz w:val="22"/>
              </w:rPr>
            </w:pPr>
            <w:r w:rsidRPr="00744A55">
              <w:rPr>
                <w:color w:val="FF0000"/>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копии актов ввода в эксплуатацию основных фондов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FF0000"/>
                <w:sz w:val="22"/>
              </w:rPr>
            </w:pPr>
            <w:r w:rsidRPr="00744A55">
              <w:rPr>
                <w:color w:val="FF0000"/>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копии документов, подтверждающих проведение переоценки основных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1) копии приказа о проведении переоценки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 лицензии предприятия, осуществившего переоценку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3) договоры  на проведение переоценки основных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4) справка о движении основных средств на последнюю отчетную дату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справка (сведения) о фактических амортизационных отчислениях на полное восстановление ОПФ  по регулируемому виду деятельности (по каждому установленному тарифу) и видам деятельности, распределение затрат которых производится на регулируемые виды деятельности в соответствии с учетной политикой организации (вспомогательные производства общехозяйственные расходы)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амортизационная ведомость по объектам основных фондов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15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амортизационных отчислений по объектам основных фондов, относящимся к регулируемой деятельности в сфере теплоснабжения и видам деятельности</w:t>
            </w:r>
            <w:r w:rsidRPr="00744A55">
              <w:rPr>
                <w:color w:val="000000"/>
                <w:sz w:val="22"/>
              </w:rPr>
              <w:t xml:space="preserve"> </w:t>
            </w:r>
            <w:r w:rsidRPr="00744A55">
              <w:rPr>
                <w:color w:val="333333"/>
                <w:sz w:val="22"/>
              </w:rPr>
              <w:t>распределение затрат которых производится на регулируемые виды деятельности в соответствии с учетной политикой организации (вспомогательные производства общехозяйственные расходы), выполненный в соответствии с амортизационной ведомостью (с обязательным указанием срока ввода объекта в эксплуатацию)</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5.11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расшифровка арендной платы (концессионной платы, лизингового платежа) с указанием размера амортизации,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(с расшифровкой по каждому объекту))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обоснования к расчету расходов на топливо:</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копии договоров  поставки, транспортировки газа (аренды и технического обслуживания газопровода), мазута, угля,  используемых на ТЭЦ  для производства тепловой энергии, с приложением копий дополнительных соглашений, протоколов согласования цены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6.2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договоров поставки, транспортировки природного  газа (аренды и технического обслуживания газопровода), попутного газа, мазута, угля, нефти, дизельного топлива, дров, используемых на котельных для производства тепловой энергии, с приложением копий дополнительных соглашений, протоколов согласования цены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w:t>
            </w:r>
            <w:proofErr w:type="gramStart"/>
            <w:r w:rsidRPr="00744A55">
              <w:rPr>
                <w:color w:val="262626"/>
                <w:sz w:val="22"/>
              </w:rPr>
              <w:t>реестр счет - фактур по топливу (природный (попутный) газ, мазут, уголь, нефть, дрова, дизельное топливо)</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счето</w:t>
            </w:r>
            <w:proofErr w:type="gramStart"/>
            <w:r w:rsidRPr="00744A55">
              <w:rPr>
                <w:color w:val="262626"/>
                <w:sz w:val="22"/>
              </w:rPr>
              <w:t>в-</w:t>
            </w:r>
            <w:proofErr w:type="gramEnd"/>
            <w:r w:rsidRPr="00744A55">
              <w:rPr>
                <w:color w:val="262626"/>
                <w:sz w:val="22"/>
              </w:rPr>
              <w:t xml:space="preserve"> фактур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сводную расчетную таблицу о структуре и ценах, а также  калорийности потребляемого топлива и стоимости его доставки (перевозки) в разрезе структурных подразделений (ТЭЦ, котельные)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сертификаты качества основного и резервного топлива по котельным (газ помесячно)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42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proofErr w:type="gramStart"/>
            <w:r w:rsidRPr="00744A55">
              <w:rPr>
                <w:color w:val="262626"/>
                <w:sz w:val="22"/>
              </w:rPr>
              <w:t xml:space="preserve">копии  документов, подтверждающих проведение торгов  по топливу (газ, уголь, мазут, </w:t>
            </w:r>
            <w:r w:rsidRPr="00744A55">
              <w:rPr>
                <w:color w:val="333333"/>
                <w:sz w:val="22"/>
              </w:rPr>
              <w:t>нефть, дизельное топливо, дрова):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1) извещение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 документация о проведении торгов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3) протоколы заседания Закупочной комиссии по проведению, составляемых в ходе проведения торгов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заявок с приложением всей конкурсной документации на проведение плановой закупки топлива (газ, уголь, мазут,</w:t>
            </w:r>
            <w:r w:rsidRPr="00744A55">
              <w:rPr>
                <w:color w:val="333333"/>
                <w:sz w:val="22"/>
              </w:rPr>
              <w:t xml:space="preserve"> нефть, дизельное топливо, дрова) на предстоящий период регулирования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6.9.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сводная информация  о структуре и ценах потребляемого топлива с учетом перевозки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 xml:space="preserve"> обоснования к расчету  расходов на электрическую энергию: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перечень оборудования потребляющего электроэнергию  на технологические нужды с указанием назначения и технических характеристик оборудования. Отдельно указать </w:t>
            </w:r>
            <w:proofErr w:type="gramStart"/>
            <w:r w:rsidRPr="00744A55">
              <w:rPr>
                <w:color w:val="262626"/>
                <w:sz w:val="22"/>
              </w:rPr>
              <w:t>оборудование</w:t>
            </w:r>
            <w:proofErr w:type="gramEnd"/>
            <w:r w:rsidRPr="00744A55">
              <w:rPr>
                <w:color w:val="262626"/>
                <w:sz w:val="22"/>
              </w:rPr>
              <w:t xml:space="preserve"> на электродвигателях которого применено частотное регулирование с указанием КПД преобразователя частоты.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справка о </w:t>
            </w:r>
            <w:r w:rsidRPr="00744A55">
              <w:rPr>
                <w:color w:val="333333"/>
                <w:sz w:val="22"/>
              </w:rPr>
              <w:t xml:space="preserve">ежемесячном расходе электрической энергии на производственные нужды по регулируемому виду деятельности (по каждому объекту с группировкой по каждому установленному тарифу)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количества электроэнергии, выполненный в соответствии с  действующими нормативами на основании технических параметров технологического оборудования, используемого при осуществлении регулируемой деятельности (по каждому объекту с группировкой по каждому установленному тарифу)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договоров поставки электроэнергии (со всеми приложениями)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реестр счетов-фактур по электроэнергии с указанием периода, объема потребления электроэнергии, тарифа и суммы  копия счетов-фактур на электроэнергию с актами  приема-передачи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7.6.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копия счетов-фактур на электроэнергию с актами  приема-передачи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7.7.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калькуляцию собственных затрат на электроэнергию (при использовании собственной электроэнергии  от ДЭС)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воду и водоотведение для технологических нужд теплоснабжения:</w:t>
            </w:r>
          </w:p>
        </w:tc>
      </w:tr>
      <w:tr w:rsidR="0070360F" w:rsidRPr="00744A55" w:rsidTr="002C35B4">
        <w:trPr>
          <w:trHeight w:val="7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копии последних счетов-фактур на приобретение воды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7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ПРИ ИСПОЛЬЗОВАНИИ ПОКУПНОЙ ВОДЫ: копии договоров поставки воды (с приложениями) с </w:t>
            </w:r>
            <w:proofErr w:type="spellStart"/>
            <w:r w:rsidRPr="00744A55">
              <w:rPr>
                <w:color w:val="262626"/>
                <w:sz w:val="22"/>
              </w:rPr>
              <w:t>ресурсоснабжающей</w:t>
            </w:r>
            <w:proofErr w:type="spellEnd"/>
            <w:r w:rsidRPr="00744A55">
              <w:rPr>
                <w:color w:val="262626"/>
                <w:sz w:val="22"/>
              </w:rPr>
              <w:t xml:space="preserve"> организацией (с указанием жесткости исходной воды)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sz w:val="22"/>
              </w:rPr>
            </w:pPr>
            <w:r w:rsidRPr="00744A55">
              <w:rPr>
                <w:sz w:val="22"/>
              </w:rPr>
              <w:t xml:space="preserve">ПРИ ИСПОЛЬЗОВАНИИ СОБСТВЕННОГО ВОДОЗАБОРА (в </w:t>
            </w:r>
            <w:proofErr w:type="gramStart"/>
            <w:r w:rsidRPr="00744A55">
              <w:rPr>
                <w:sz w:val="22"/>
              </w:rPr>
              <w:t>случаях</w:t>
            </w:r>
            <w:proofErr w:type="gramEnd"/>
            <w:r w:rsidRPr="00744A55">
              <w:rPr>
                <w:sz w:val="22"/>
              </w:rPr>
              <w:t xml:space="preserve"> когда установление тарифа в сфере водоснабжения не требуется) - утвержденная руководителем предприятия калькуляция себестоимости услуг водоснабжения и водоотведения за отчетный период,  на текущий и  регулируемый периоды;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справки по расходу воды объектами теплоснабжения за отчетный период (по каждому объекту с группировкой по каждому установленному тарифу) с указанием показаний приборов учета, в </w:t>
            </w:r>
            <w:proofErr w:type="spellStart"/>
            <w:r w:rsidRPr="00744A55">
              <w:rPr>
                <w:color w:val="262626"/>
                <w:sz w:val="22"/>
              </w:rPr>
              <w:t>куб.м</w:t>
            </w:r>
            <w:proofErr w:type="spellEnd"/>
            <w:r w:rsidRPr="00744A55">
              <w:rPr>
                <w:color w:val="262626"/>
                <w:sz w:val="22"/>
              </w:rPr>
              <w:t>.</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перечень оборудования водоподготовки с указанием назначения и технических характеристик (проектные и фактические схемы водоподготовки, паспорта оборудования, описание работы системы ХВО, отчеты по наладке системы ХВО, режимные карты ХВО)</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 xml:space="preserve"> расчет количества воды, необходимой для производства и передачи тепловой энергии, выполненный согласно методическим указаниям исходя из нормативов с учетом технических характеристик технологического оборудования и параметров исходной воды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затрат на приобретение хим. реагентов в целом по предприятию и в разрезе структурных подразделений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копии  договоров на отпуск </w:t>
            </w:r>
            <w:r w:rsidRPr="00744A55">
              <w:rPr>
                <w:color w:val="FF0000"/>
                <w:sz w:val="22"/>
              </w:rPr>
              <w:t xml:space="preserve"> </w:t>
            </w:r>
            <w:r w:rsidRPr="00744A55">
              <w:rPr>
                <w:color w:val="333333"/>
                <w:sz w:val="22"/>
              </w:rPr>
              <w:t xml:space="preserve">воды, прием, транспортировку и очистку промышленных стоков  с приложение копий дополнительных соглашений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сводная таблица о тарифах (ценах) на водопотребление и водоотведение объектами теплоснабжения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8.10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баланс водопотребления и водоотведения  в целом по организации (в разрезе: по объектам, в том числе по каждому объекту теплоснабжения с группировкой по каждому установленному тарифу)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0360F">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расходов на выполнение работ и услуг производственного характера (в том числе выполняемых по договорам со сторонними организациями или индивидуальными предпринимателями):</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расчет затрат на услуги </w:t>
            </w:r>
            <w:r w:rsidRPr="00744A55">
              <w:rPr>
                <w:b/>
                <w:bCs/>
                <w:color w:val="333333"/>
                <w:sz w:val="22"/>
              </w:rPr>
              <w:t>собственного и  привлеченного транспорта</w:t>
            </w:r>
            <w:r w:rsidRPr="00744A55">
              <w:rPr>
                <w:color w:val="333333"/>
                <w:sz w:val="22"/>
              </w:rPr>
              <w:t xml:space="preserve"> </w:t>
            </w:r>
            <w:proofErr w:type="gramStart"/>
            <w:r w:rsidRPr="00744A55">
              <w:rPr>
                <w:color w:val="333333"/>
                <w:sz w:val="22"/>
              </w:rPr>
              <w:t>в разрезе видов транспорта  в целом  по предприятию с  распределением по видам</w:t>
            </w:r>
            <w:proofErr w:type="gramEnd"/>
            <w:r w:rsidRPr="00744A55">
              <w:rPr>
                <w:color w:val="333333"/>
                <w:sz w:val="22"/>
              </w:rPr>
              <w:t xml:space="preserve"> деятельности: регулируемые (по каждому установленному тарифу),  нерегулируемые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9.2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ПРИ ИСПОЛЬЗОВАНИИ СОБСТВЕННОГО ТРАНСПОРТА: расчет затрат на приобретение ГСМ, запасных частей и расходных материалов в целом по предприятию с  распределением по видам деятельности: регулируемые (по каждому установленному тарифу),  нерегулируемые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копии договоров на оказание  услуг  ЖД и автомобильного транспорта с приложением копий дополнительных соглашений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копии договоров на оказание услуг по подаче-уборке, выгрузке грузов из вагонов и других дополнительных услуг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proofErr w:type="gramStart"/>
            <w:r w:rsidRPr="00744A55">
              <w:rPr>
                <w:color w:val="262626"/>
                <w:sz w:val="22"/>
              </w:rPr>
              <w:t>документы</w:t>
            </w:r>
            <w:proofErr w:type="gramEnd"/>
            <w:r w:rsidRPr="00744A55">
              <w:rPr>
                <w:color w:val="262626"/>
                <w:sz w:val="22"/>
              </w:rPr>
              <w:t xml:space="preserve"> подтверждающие фактические  транспортные расходы организации  на регулируемый период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proofErr w:type="gramStart"/>
            <w:r w:rsidRPr="00744A55">
              <w:rPr>
                <w:color w:val="262626"/>
                <w:sz w:val="22"/>
              </w:rPr>
              <w:t>документы</w:t>
            </w:r>
            <w:proofErr w:type="gramEnd"/>
            <w:r w:rsidRPr="00744A55">
              <w:rPr>
                <w:color w:val="262626"/>
                <w:sz w:val="22"/>
              </w:rPr>
              <w:t xml:space="preserve">  обосновывающие плановые  транспортные расходы организации  на регулируемый период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обоснование базы распределения транспортных  расходов между видами деятельности (в соответствии с учетной политикой)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7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proofErr w:type="gramStart"/>
            <w:r w:rsidRPr="00744A55">
              <w:rPr>
                <w:color w:val="262626"/>
                <w:sz w:val="22"/>
              </w:rPr>
              <w:t>документы</w:t>
            </w:r>
            <w:proofErr w:type="gramEnd"/>
            <w:r w:rsidRPr="00744A55">
              <w:rPr>
                <w:color w:val="262626"/>
                <w:sz w:val="22"/>
              </w:rPr>
              <w:t xml:space="preserve"> подтверждающие фактические расходы вспомогательных производств на регулируемый период (калькуляции, договоры, бухгалтерские справки, отчеты вспомогательных производств и т.д.)</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7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proofErr w:type="gramStart"/>
            <w:r w:rsidRPr="00744A55">
              <w:rPr>
                <w:color w:val="262626"/>
                <w:sz w:val="22"/>
              </w:rPr>
              <w:t>документы</w:t>
            </w:r>
            <w:proofErr w:type="gramEnd"/>
            <w:r w:rsidRPr="00744A55">
              <w:rPr>
                <w:color w:val="262626"/>
                <w:sz w:val="22"/>
              </w:rPr>
              <w:t xml:space="preserve">  обосновывающие плановые расходы вспомогательных производств на регулируемый период (калькуляции, договоры, бухгалтерские справки, отчеты вспомогательных производств и т.д.)</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50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9.10.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обоснование базы распределения  расходов вспомогательных производств  между видами деятельности (в соответствии с учетной политикой)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21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оплату труда: </w:t>
            </w:r>
          </w:p>
        </w:tc>
      </w:tr>
      <w:tr w:rsidR="0070360F" w:rsidRPr="00744A55" w:rsidTr="00744A55">
        <w:trPr>
          <w:trHeight w:val="70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штатного расписания и приказа  о его утверждении (по подразделению, занятому производством, передачей и сбытом тепловой энергии)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35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копия положения об оплате труда с приложением приказа о его утверждении за предшествующий расчетный период регулирования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положения о премировании за основные результаты </w:t>
            </w:r>
            <w:proofErr w:type="spellStart"/>
            <w:r w:rsidRPr="00744A55">
              <w:rPr>
                <w:color w:val="262626"/>
                <w:sz w:val="22"/>
              </w:rPr>
              <w:t>производственно</w:t>
            </w:r>
            <w:proofErr w:type="spellEnd"/>
            <w:r w:rsidRPr="00744A55">
              <w:rPr>
                <w:color w:val="262626"/>
                <w:sz w:val="22"/>
              </w:rPr>
              <w:t xml:space="preserve"> - хозяйственной деятельности работников предприятия с приложение приказа о его утверждении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26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коллективный договор (или отдельные положения):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19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1) положение о поощрении сотрудников наградами предприятия  с приложением приказа о его утверждении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4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2) положение  о выплатах социального характера неработающим пенсионерам предприятия с приложением </w:t>
            </w:r>
            <w:proofErr w:type="spellStart"/>
            <w:r w:rsidRPr="00744A55">
              <w:rPr>
                <w:color w:val="262626"/>
                <w:sz w:val="22"/>
              </w:rPr>
              <w:t>приказао</w:t>
            </w:r>
            <w:proofErr w:type="spellEnd"/>
            <w:r w:rsidRPr="00744A55">
              <w:rPr>
                <w:color w:val="262626"/>
                <w:sz w:val="22"/>
              </w:rPr>
              <w:t xml:space="preserve"> его утверждении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3) положение о материальной помощи работникам предприятия с приложением приказа о его утверждении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10.9.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w:t>
            </w:r>
            <w:r w:rsidRPr="00744A55">
              <w:rPr>
                <w:color w:val="333333"/>
                <w:sz w:val="22"/>
              </w:rPr>
              <w:t>информация  о фактической и численности и начисленном фонде оплаты труда (в разрезе структурных подразделений и  категорий работников (производственный персонал по регулируемому виду деятельности (производство, передача, сбыт), инженерно-технический персонал, административно-управленческий персонал, транспортный участок, вспомогательные производства))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w:t>
            </w:r>
            <w:r w:rsidRPr="00744A55">
              <w:rPr>
                <w:color w:val="333333"/>
                <w:sz w:val="22"/>
              </w:rPr>
              <w:t>расчет  планируемой численности, планового фонда оплаты труда персонала (в разрезе структурных подразделений и  категорий работников (производственный персонал по регулируемому виду деятельности (производство, передача, сбыт), инженерно-технический персонал, административно-управленческий персонал, транспортный участок, вспомогательные производства))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нормативной численности (основной производственный персонал по регулируемому виду деятельности в разрезе структурных подразделений, инженерно-технический персонал, административно-управленческий персонал, транспортный участок) на предстоящий период регулирования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расчет  отчислений на социальные нужды, страховых взносов в государственные внебюджетные фонды (в соответствии с действующим законодательством в размерах, установленных нормативными правовыми актами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средней ступени по оплате труда (среднего разряда работников) и среднего тарифного коэффициента, расчет процента выплат, надбавок и премий, связанных с условиями труда по регулируемому виду деятельности в разрезе структурных подразделений и категорий работников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2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сводная ведомость начисленной заработной платы по регулируемому виду деятельности в разрезе структурных подразделений по видам начислений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2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сводная ведомость по фонду оплаты труда АУП и цехового персонала с указанием численности  по видам начислений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43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10.16.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копия документа, подтверждающего размер минимальной месячной тарифной ставки рабочих первого разряда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0360F">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оплату иных работ и услуг, выполняемых по договорам со сторонними организациями, прочих расходов и общехозяйственных расходов:</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копии договоров  на работы и услуги производственного характера, возмездного оказания услуг сторонними организациями, с приложением счетов-фактур, актов выполненных работ</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реестр договоров по видам услуг, оказываемым сторонними организациями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сметы-расшифровки  расходов  и расчет затрат по каждой статье затрат (работы и услуги, выполняемые по договорам со сторонними организациями, прочие расходы и общехозяйственные расходы)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смета общехозяйственных расходов с приложением по каждой статье затрат расчетов и обосновывающих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11.5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расчет распределения общехозяйственных расходов между видами осуществляемой деятельности, в том числе регулируемыми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55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расчет распределения цеховых  расходов (затрат, распределяемых по видам деятельности в соответствии с учетной политикой организации) между видами осуществляемой деятельности, в том числе регулируемыми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обоснование базы распределения общехозяйственных и цеховых  расходов между видами деятельности в соответствии с учетной политикой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расшифровка  расходов и расчет затрат на страхование с приложением обосновывающих документов (договор страхования, страховой полис, перечень </w:t>
            </w:r>
            <w:proofErr w:type="spellStart"/>
            <w:r w:rsidRPr="00744A55">
              <w:rPr>
                <w:sz w:val="22"/>
              </w:rPr>
              <w:t>застраховонного</w:t>
            </w:r>
            <w:proofErr w:type="spellEnd"/>
            <w:r w:rsidRPr="00744A55">
              <w:rPr>
                <w:sz w:val="22"/>
              </w:rPr>
              <w:t xml:space="preserve"> имущества)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смет</w:t>
            </w:r>
            <w:proofErr w:type="gramStart"/>
            <w:r w:rsidRPr="00744A55">
              <w:rPr>
                <w:sz w:val="22"/>
              </w:rPr>
              <w:t>а-</w:t>
            </w:r>
            <w:proofErr w:type="gramEnd"/>
            <w:r w:rsidRPr="00744A55">
              <w:rPr>
                <w:sz w:val="22"/>
              </w:rPr>
              <w:t xml:space="preserve"> расшифровка фактических расходов на сбыт и   расчет  плановых расходов на регулируемый период  с расшифровкой и обоснованием по каждой статье затрат (договоры, бухгалтерские данные)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3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документы, подтверждающие фактические расходы организации на сбыт  за отчетный период (копии договоров  на оказание  услуг, с приложением счетов-фактур, актов выполненных работ, бухгалтерские регистры и т.д.)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44A55">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11.11.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обоснование базы распределения расходов на сбыт между видами деятельности осуществляемой деятельности, в том числе регулируемыми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0360F">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 xml:space="preserve">обоснование к расчету расходов по мероприятиям согласно программе энергосбережения и повышения </w:t>
            </w:r>
            <w:proofErr w:type="spellStart"/>
            <w:r w:rsidRPr="00744A55">
              <w:rPr>
                <w:b/>
                <w:bCs/>
                <w:i/>
                <w:iCs/>
                <w:color w:val="262626"/>
                <w:sz w:val="22"/>
              </w:rPr>
              <w:t>энергоэффективности</w:t>
            </w:r>
            <w:proofErr w:type="spellEnd"/>
            <w:r w:rsidRPr="00744A55">
              <w:rPr>
                <w:b/>
                <w:bCs/>
                <w:i/>
                <w:iCs/>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программа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утвержденная программа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по регулируемому виду деятельности (или проект программы) на расчетный период регулирования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отчет о выполнении мероприятий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и расшифровка затрат по мероприятиям согласно программы энергосбережения и повышения </w:t>
            </w:r>
            <w:proofErr w:type="spellStart"/>
            <w:r w:rsidRPr="00744A55">
              <w:rPr>
                <w:color w:val="262626"/>
                <w:sz w:val="22"/>
              </w:rPr>
              <w:t>энергоэффективности</w:t>
            </w:r>
            <w:proofErr w:type="spellEnd"/>
            <w:r w:rsidRPr="00744A55">
              <w:rPr>
                <w:color w:val="262626"/>
                <w:sz w:val="22"/>
              </w:rPr>
              <w:t xml:space="preserve">  в разрезе структурных подразделений и в целом по предприятию по регулируемому виду деятельности  на расчетный период регулирования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12.5.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44A55" w:rsidP="00744A55">
            <w:pPr>
              <w:rPr>
                <w:sz w:val="22"/>
              </w:rPr>
            </w:pPr>
            <w:r>
              <w:rPr>
                <w:sz w:val="22"/>
              </w:rPr>
              <w:t xml:space="preserve">Шаблон по энергосбережению и </w:t>
            </w:r>
            <w:proofErr w:type="spellStart"/>
            <w:r>
              <w:rPr>
                <w:sz w:val="22"/>
              </w:rPr>
              <w:t>энергоэффективности</w:t>
            </w:r>
            <w:proofErr w:type="spellEnd"/>
            <w:r>
              <w:rPr>
                <w:sz w:val="22"/>
              </w:rPr>
              <w:t xml:space="preserve"> </w:t>
            </w:r>
            <w:r w:rsidR="0070360F" w:rsidRPr="00744A55">
              <w:rPr>
                <w:sz w:val="22"/>
              </w:rPr>
              <w:t>PROG.ESB.6.70</w:t>
            </w:r>
            <w:r>
              <w:rPr>
                <w:sz w:val="22"/>
              </w:rPr>
              <w:t xml:space="preserve"> (предоставляется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уплату налогов и сборов: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земельного налога в целом по предприятию и в разрезе структурных подразделений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налога на имущество в целом по предприятию и в разрезе структурных подразделений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транспортного налога и в разрезе структурных подразделений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сводная таблица расчета платежей за загрязнение окружающей среды в целом по предприятию и в разрезе структурных подразделений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13.5.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платы за фактическое загрязнение окружающей среды  (поквартально)</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13.6.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иных обязательных налогов и платежей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расчету расходов на обслуживание заемных средств и обоснованию прибыли:</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процентов за кредиты на расчетный период регулирования по регулируемому виду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справка о начислении процентов, относящихся на прочие расходы, по кредитам предприятия, относящимся к регулируемому виду деятельности, в разрезе банков - кредиторов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кредитных договоров с приложением копий дополнительных соглашений  по регулируемому виду деятельности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бюджет движения денежных средств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необходимой валовой выручки, относимой на население  и приравненных к нему категорий потребителей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копии приказов по предприятию  о списании дебиторской и кредиторской задолженности по регулируемому виду деятельности с приложением списка  лиц по дебиторской задолженности, подлежащей списанию с отнесением на финансовые результаты предприятия и списка  лиц по дебиторской задолженности, подлежащей списанию за счет резерва по сомнительным долгам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реестр на списание дебиторской задолженности </w:t>
            </w:r>
            <w:r w:rsidRPr="00744A55">
              <w:rPr>
                <w:color w:val="333333"/>
                <w:sz w:val="22"/>
              </w:rPr>
              <w:t>со сроком давности более трех лет по физическим лицам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расшифровка расходов,  из прибыли на прочие цели по регулируемому виду деятельности на расчетный период регулирования с приложением обосновывающих материалов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необходимой прибыли на социальное развитие на расчетный период регулирования, включая программу социального развития, расшифровку и расчет расходов на социальное развитие</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прибыли на поощрение на расчетный период регулирования, в том числе расчет выплат социального характера со ссылкой на положения коллективного договора и отраслевых тарифных соглашений, с указанием количества работников, по факту получивших выплаты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14.11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расчеты налогов и платежей, уплачиваемых за счет прибыли организации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15</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к инвестиционной программе:</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15.1.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15.2.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копия приказа о внесении изменений в утвержденную инвестиционную программу</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0360F">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обоснование технико-экономических показателей в сфере теплоснабжения:</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16.1.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аналитическая записка к расчету расходов, связанных с производством и передачей тепловой энергии (или услугами по передаче тепловой энергии), с пояснениями изменений по каждой статье относительно предшествующего периода регулирования</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обоснование и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расчет себестоимости производства и реализации мощности, электро- и тепловой энергии за предшествующий период регулирования  в разрезе структурных подразделений</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FF0000"/>
                <w:sz w:val="22"/>
              </w:rPr>
            </w:pPr>
            <w:r w:rsidRPr="00744A55">
              <w:rPr>
                <w:color w:val="FF0000"/>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xml:space="preserve"> экономическое обоснование исходных данных (с указанием применяемых норм и нормативов расчета), расчета расходов и необходимой валовой выручки от регулируемой деятельности  в соответствии с «Методическими указаниями по расчету регулируемых цен (тарифов) в сфере теплоснабжения», утвержденными приказом ФСТ России от 13.06.2013 № 760-э</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реестр выставленных счетов за тепловую энергию за  предшествующий период регулирования с указанием объемов в Гкал, с разбивкой по теплоисточникам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данные об объемах теплопотребления на нужды организации, с указанием объемов в Гкал, с разбивкой по теплоисточникам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справка о среднегодовом фактическом потреблении тепловой энергии, с разбивкой по теплоисточникам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копии договоров передачи тепловой энергии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расчет объема теплопотребления на нужды предприятия на регулируемый период;</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FF0000"/>
                <w:sz w:val="22"/>
              </w:rPr>
            </w:pPr>
            <w:r w:rsidRPr="00744A55">
              <w:rPr>
                <w:color w:val="FF0000"/>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утвержденные уполномоченными органами нормативы удельных расходов топлива на отпущенную электрическую и тепловую энергию;</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xml:space="preserve"> расчет  нормативов удельных расходов топлива на отпущенную электрическую и  (или) тепловую энергию</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утвержденные уполномоченными органами нормативы запасов топлива</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нормативов  запасов топлива на источниках тепловой энергии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утвержденные в установленном порядке значения нормативов технологических потерь при передаче тепловой энергии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расчет  нормативов технологических потерь при передаче тепловой энергии, теплоносителя для тепловой сети каждой системы теплоснабжения с приложением обосновывающих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16.16.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w:t>
            </w:r>
            <w:proofErr w:type="gramStart"/>
            <w:r w:rsidRPr="00744A55">
              <w:rPr>
                <w:color w:val="262626"/>
                <w:sz w:val="22"/>
              </w:rPr>
              <w:t>обосновывающие данные к расчету  нормативов технологических потерь при передаче тепловой энергии  (применяемые в расчетах нормативов технологических потерь характеристики тепловых сетей должны соответствовать правоустанавливающим документам (свидетельство о праве собственности, договор аренды и т.д.):</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1) технические паспорта на тепловые сети, обслуживаемые предприятием</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2) техническая характеристика котельных и установленного оборудовани</w:t>
            </w:r>
            <w:proofErr w:type="gramStart"/>
            <w:r w:rsidRPr="00744A55">
              <w:rPr>
                <w:color w:val="262626"/>
                <w:sz w:val="22"/>
              </w:rPr>
              <w:t>я(</w:t>
            </w:r>
            <w:proofErr w:type="gramEnd"/>
            <w:r w:rsidRPr="00744A55">
              <w:rPr>
                <w:color w:val="262626"/>
                <w:sz w:val="22"/>
              </w:rPr>
              <w:t xml:space="preserve">в </w:t>
            </w:r>
            <w:proofErr w:type="spellStart"/>
            <w:r w:rsidRPr="00744A55">
              <w:rPr>
                <w:color w:val="262626"/>
                <w:sz w:val="22"/>
              </w:rPr>
              <w:t>т.ч</w:t>
            </w:r>
            <w:proofErr w:type="spellEnd"/>
            <w:r w:rsidRPr="00744A55">
              <w:rPr>
                <w:color w:val="262626"/>
                <w:sz w:val="22"/>
              </w:rPr>
              <w:t xml:space="preserve">. котельного, насосного, вспомогательного и т.д.) </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3)  в случае отсутствия паспортов - схемы и характеристики тепловых сетей (диаметр, протяженность, способ прокладки)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4) температурные графики котельных</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44A55">
            <w:pPr>
              <w:ind w:firstLineChars="100" w:firstLine="220"/>
              <w:rPr>
                <w:color w:val="262626"/>
                <w:sz w:val="22"/>
              </w:rPr>
            </w:pPr>
            <w:r w:rsidRPr="00744A55">
              <w:rPr>
                <w:color w:val="262626"/>
                <w:sz w:val="22"/>
              </w:rPr>
              <w:t>5)режимные карты</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xml:space="preserve"> </w:t>
            </w:r>
            <w:proofErr w:type="gramStart"/>
            <w:r w:rsidRPr="00744A55">
              <w:rPr>
                <w:color w:val="262626"/>
                <w:sz w:val="22"/>
              </w:rPr>
              <w:t>6)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или копию документа, подтверждающего направление оферты контрагенту</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70360F">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17</w:t>
            </w:r>
          </w:p>
        </w:tc>
        <w:tc>
          <w:tcPr>
            <w:tcW w:w="9356" w:type="dxa"/>
            <w:gridSpan w:val="3"/>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b/>
                <w:bCs/>
                <w:i/>
                <w:iCs/>
                <w:color w:val="262626"/>
                <w:sz w:val="22"/>
              </w:rPr>
            </w:pPr>
            <w:r w:rsidRPr="00744A55">
              <w:rPr>
                <w:b/>
                <w:bCs/>
                <w:i/>
                <w:iCs/>
                <w:color w:val="262626"/>
                <w:sz w:val="22"/>
              </w:rPr>
              <w:t xml:space="preserve"> таблицы для расчета экономически обоснованных тарифов на тепловую энергию в соответствии с «Методическими указаниями по расчету регулируемых цен (тарифов) в сфере теплоснабжения», утвержденными приказом  ФСТ России от 13.06.2013 № 760-э:</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 расчет полезного отпуска тепловой энергии (приложение 4.1)</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 расчет полезного отпуска теплоносителя (приложение 4.2)</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 структура полезного отпуска тепловой энергии (мощности) (приложение 4.3)</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4) расчет расхода топлива по электростанциям (котельным) (приложение 4.4)</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5) расчет баланса топлива (приложение 4.5)</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6) смета расходов (приложение 4.6)</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7)  расходы на прочие покупаемые энергетические ресурсы (приложение 4.7)</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8) расходы на приобретение холодной воды и теплоносителя (приложение 4.8)</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9) расчет расходов на оплату труда (приложение 4.9)</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10) расчет амортизационных отчислений на восстановление основных производственных фондов (приложение 4.10)</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11) расчет источников финансирования капитальных вложений (приложение 4.11)</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12) справка об объектах капитальных вложений (приложение 4.12)</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13) расчет экономии от снижения потребления топлива (приложение 4.13)</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14) расчет экономии от снижения потребления прочих энергоресурсов (приложение 4.14)</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15)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(приложение 4.15)</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16) определение операционных (подконтрольных) расходов на первый год долгосрочного периода регулирования (базовый уровень операционных расходов) (приложение 5.1)</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17) расчет операционных (подконтрольных) расходов на каждый год долгосрочного периода регулирования (приложение 5.2)</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18) реестр неподконтрольных расходов (приложение 5.3)</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19) реестр расходов на приобретение энергетических ресурсов, холодной воды и теплоносителя (приложение 5.4)</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sz w:val="22"/>
              </w:rPr>
            </w:pPr>
            <w:r w:rsidRPr="00744A55">
              <w:rPr>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20) расчет экономии операционных расходов (приложение 5.5)</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21) расчет экономии от снижения потребления топлива, учитываемой в очередном долгосрочном периоде регулирования (приложение 5.6)</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22)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(приложение 5.7)</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23)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(приложение 5.8)</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24) расчет необходимой валовой выручки методом индексации установленных тарифов (приложение 5.9)</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25) расчет необходимой валовой выручки методом обеспечения доходности инвестированного капитала (приложение 5.10)</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26) расчет тарифов на тепловую энергию (мощность), отпускаемую от источника (источников) тепловой энергии для теплоснабжающей организации (приложение 6.1)</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 xml:space="preserve">27) расчет тарифов на услуги по передаче тепловой энергии, теплоносителя для </w:t>
            </w:r>
            <w:proofErr w:type="spellStart"/>
            <w:r w:rsidRPr="00744A55">
              <w:rPr>
                <w:sz w:val="22"/>
              </w:rPr>
              <w:t>теплосетевой</w:t>
            </w:r>
            <w:proofErr w:type="spellEnd"/>
            <w:r w:rsidRPr="00744A55">
              <w:rPr>
                <w:sz w:val="22"/>
              </w:rPr>
              <w:t xml:space="preserve"> (теплоснабжающей) организации (приложение 6.2)</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28)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w:t>
            </w:r>
            <w:proofErr w:type="spellStart"/>
            <w:r w:rsidRPr="00744A55">
              <w:rPr>
                <w:sz w:val="22"/>
              </w:rPr>
              <w:t>теплосетевым</w:t>
            </w:r>
            <w:proofErr w:type="spellEnd"/>
            <w:r w:rsidRPr="00744A55">
              <w:rPr>
                <w:sz w:val="22"/>
              </w:rPr>
              <w:t>) организациям с целью компенсации потерь тепловой энергии (приложение 6.3)</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29) расчет тарифов на тепловую энергию (мощность), поставляемую потребителям (приложение 6.4)</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30) расчет средневзвешенной стоимости оказываемых и (или) приобретаемых услуг по передаче единицы тепловой энергии (приложение 6.5)</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31)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(приложение 6.6)</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32) расчет тарифа на теплоноситель, поставляемый потребителям (приложение 6.7)</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33)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(приложение 6.8).</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5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34) расчет расходов на проведение мероприятий по подключению объектов заявителей (приложение 7.1)</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744A55">
              <w:rPr>
                <w:sz w:val="22"/>
              </w:rPr>
              <w:t>ч</w:t>
            </w:r>
            <w:proofErr w:type="gramEnd"/>
            <w:r w:rsidRPr="00744A55">
              <w:rPr>
                <w:sz w:val="22"/>
              </w:rPr>
              <w:t xml:space="preserve"> и не превышает 1,5 Гкал/ч (приложение 7.2)</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744A55">
              <w:rPr>
                <w:sz w:val="22"/>
              </w:rPr>
              <w:t>ч</w:t>
            </w:r>
            <w:proofErr w:type="gramEnd"/>
            <w:r w:rsidRPr="00744A55">
              <w:rPr>
                <w:sz w:val="22"/>
              </w:rPr>
              <w:t xml:space="preserve"> и не превышает 1,5 Гкал/ч (приложение 7.3)</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37)расчет платы за подключение объектов заявителей, подключаемая тепловая нагрузка которых более 0,1 Гкал/</w:t>
            </w:r>
            <w:proofErr w:type="gramStart"/>
            <w:r w:rsidRPr="00744A55">
              <w:rPr>
                <w:sz w:val="22"/>
              </w:rPr>
              <w:t>ч</w:t>
            </w:r>
            <w:proofErr w:type="gramEnd"/>
            <w:r w:rsidRPr="00744A55">
              <w:rPr>
                <w:sz w:val="22"/>
              </w:rPr>
              <w:t xml:space="preserve"> и не превышает 1,5 Гкал/ч (приложение 7.4)</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12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38)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w:t>
            </w:r>
            <w:proofErr w:type="gramStart"/>
            <w:r w:rsidRPr="00744A55">
              <w:rPr>
                <w:sz w:val="22"/>
              </w:rPr>
              <w:t>ч</w:t>
            </w:r>
            <w:proofErr w:type="gramEnd"/>
            <w:r w:rsidRPr="00744A55">
              <w:rPr>
                <w:sz w:val="22"/>
              </w:rPr>
              <w:t>, при наличии технической возможности подключения (приложение 7.5)</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39)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w:t>
            </w:r>
            <w:proofErr w:type="gramStart"/>
            <w:r w:rsidRPr="00744A55">
              <w:rPr>
                <w:sz w:val="22"/>
              </w:rPr>
              <w:t>ч</w:t>
            </w:r>
            <w:proofErr w:type="gramEnd"/>
            <w:r w:rsidRPr="00744A55">
              <w:rPr>
                <w:sz w:val="22"/>
              </w:rPr>
              <w:t>, при наличии технической возможности подключения (приложение 7.6)</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40) расчет платы за подключение объектов заявителей, подключаемая тепловая нагрузка которых превышает 1,5 Гкал/</w:t>
            </w:r>
            <w:proofErr w:type="gramStart"/>
            <w:r w:rsidRPr="00744A55">
              <w:rPr>
                <w:sz w:val="22"/>
              </w:rPr>
              <w:t>ч</w:t>
            </w:r>
            <w:proofErr w:type="gramEnd"/>
            <w:r w:rsidRPr="00744A55">
              <w:rPr>
                <w:sz w:val="22"/>
              </w:rPr>
              <w:t>, при наличии технической возможности подключения (приложение 7.7)</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9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41) расчет платы за подключение объекта заявителя, подключаемая тепловая нагрузка которого превышает 1,5 Гкал/</w:t>
            </w:r>
            <w:proofErr w:type="gramStart"/>
            <w:r w:rsidRPr="00744A55">
              <w:rPr>
                <w:sz w:val="22"/>
              </w:rPr>
              <w:t>ч</w:t>
            </w:r>
            <w:proofErr w:type="gramEnd"/>
            <w:r w:rsidRPr="00744A55">
              <w:rPr>
                <w:sz w:val="22"/>
              </w:rPr>
              <w:t>, при отсутствии технической возможности подключения к системе теплоснабжения (приложение 7.8)</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 </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42) расчет расходов, связанных с подключением объектов заявителей, подключаемая тепловая нагрузка которых не превышает 0,1 Гкал/</w:t>
            </w:r>
            <w:proofErr w:type="gramStart"/>
            <w:r w:rsidRPr="00744A55">
              <w:rPr>
                <w:sz w:val="22"/>
              </w:rPr>
              <w:t>ч</w:t>
            </w:r>
            <w:proofErr w:type="gramEnd"/>
            <w:r w:rsidRPr="00744A55">
              <w:rPr>
                <w:sz w:val="22"/>
              </w:rPr>
              <w:t>, и не включаемых в плату за подключение (приложение 7.9)</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r>
      <w:tr w:rsidR="002C35B4" w:rsidRPr="00744A55" w:rsidTr="00744A55">
        <w:trPr>
          <w:trHeight w:val="16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C35B4" w:rsidRPr="00744A55" w:rsidRDefault="002C35B4" w:rsidP="0070360F">
            <w:pPr>
              <w:jc w:val="center"/>
              <w:rPr>
                <w:color w:val="000000"/>
                <w:sz w:val="22"/>
              </w:rPr>
            </w:pPr>
            <w:r w:rsidRPr="00744A55">
              <w:rPr>
                <w:color w:val="000000"/>
                <w:sz w:val="22"/>
              </w:rPr>
              <w:t>18</w:t>
            </w:r>
          </w:p>
        </w:tc>
        <w:tc>
          <w:tcPr>
            <w:tcW w:w="9356" w:type="dxa"/>
            <w:gridSpan w:val="3"/>
            <w:tcBorders>
              <w:top w:val="nil"/>
              <w:left w:val="nil"/>
              <w:bottom w:val="single" w:sz="8" w:space="0" w:color="auto"/>
              <w:right w:val="single" w:sz="8" w:space="0" w:color="auto"/>
            </w:tcBorders>
            <w:shd w:val="clear" w:color="auto" w:fill="auto"/>
            <w:vAlign w:val="center"/>
            <w:hideMark/>
          </w:tcPr>
          <w:p w:rsidR="002C35B4" w:rsidRPr="00744A55" w:rsidRDefault="002C35B4" w:rsidP="002C35B4">
            <w:pPr>
              <w:rPr>
                <w:b/>
                <w:bCs/>
                <w:i/>
                <w:iCs/>
                <w:color w:val="262626"/>
                <w:sz w:val="22"/>
              </w:rPr>
            </w:pPr>
            <w:r w:rsidRPr="00744A55">
              <w:rPr>
                <w:b/>
                <w:bCs/>
                <w:i/>
                <w:iCs/>
                <w:color w:val="262626"/>
                <w:sz w:val="22"/>
              </w:rPr>
              <w:t>шаблоны РСД ЕИАС (теплоснабжение) (для организаций, осуществляющих производство тепловой энергии не в режиме комбинированной выработки):</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шаблон перечня объектов производства/передачи (ZAYAVKA.TEPLO)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шаблон паспорта производства (PASSPORT.TEPLO.PROIZV)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744A55">
        <w:trPr>
          <w:trHeight w:val="36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lastRenderedPageBreak/>
              <w:t>18.3.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шаблон паспорта передачи (PASSPORT.TEPLO.SETI)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WARM.TARIFF.REQ.BAL.2017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18.5.</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WARM.CALC.INDEX.2017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18.6.</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WARM.CALC.ZATRAT.2017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18.7.</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TEPLO 2017-2019 (в части не заполняемой в шаблонах системы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18.8.</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TEPLO _CORR_2017</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 </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18.9.</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CALC.OVERHEADS(v1.1)</w:t>
            </w:r>
            <w:r w:rsidR="00D437ED" w:rsidRPr="00744A55">
              <w:rPr>
                <w:sz w:val="22"/>
              </w:rPr>
              <w:t xml:space="preserve">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18.10.</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sz w:val="22"/>
              </w:rPr>
            </w:pPr>
            <w:r w:rsidRPr="00744A55">
              <w:rPr>
                <w:sz w:val="22"/>
              </w:rPr>
              <w:t>WARM.CALC.TNOS.GVS.2017</w:t>
            </w:r>
            <w:r w:rsidR="00D437ED" w:rsidRPr="00744A55">
              <w:rPr>
                <w:sz w:val="22"/>
              </w:rPr>
              <w:t xml:space="preserve"> (в установленные сроки по системе ЕИАС)</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262626"/>
                <w:sz w:val="22"/>
              </w:rPr>
            </w:pPr>
            <w:r w:rsidRPr="00744A55">
              <w:rPr>
                <w:color w:val="262626"/>
                <w:sz w:val="22"/>
              </w:rPr>
              <w:t> </w:t>
            </w:r>
          </w:p>
        </w:tc>
      </w:tr>
      <w:tr w:rsidR="002C35B4" w:rsidRPr="00744A55" w:rsidTr="00D437ED">
        <w:trPr>
          <w:trHeight w:val="52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C35B4" w:rsidRPr="00744A55" w:rsidRDefault="002C35B4" w:rsidP="0070360F">
            <w:pPr>
              <w:jc w:val="center"/>
              <w:rPr>
                <w:color w:val="000000"/>
                <w:sz w:val="22"/>
              </w:rPr>
            </w:pPr>
            <w:r w:rsidRPr="00744A55">
              <w:rPr>
                <w:color w:val="000000"/>
                <w:sz w:val="22"/>
              </w:rPr>
              <w:t>19</w:t>
            </w:r>
          </w:p>
        </w:tc>
        <w:tc>
          <w:tcPr>
            <w:tcW w:w="9356" w:type="dxa"/>
            <w:gridSpan w:val="3"/>
            <w:tcBorders>
              <w:top w:val="nil"/>
              <w:left w:val="nil"/>
              <w:bottom w:val="single" w:sz="8" w:space="0" w:color="auto"/>
              <w:right w:val="single" w:sz="8" w:space="0" w:color="auto"/>
            </w:tcBorders>
            <w:shd w:val="clear" w:color="auto" w:fill="auto"/>
            <w:vAlign w:val="center"/>
            <w:hideMark/>
          </w:tcPr>
          <w:p w:rsidR="002C35B4" w:rsidRPr="00744A55" w:rsidRDefault="002C35B4" w:rsidP="002C35B4">
            <w:pPr>
              <w:rPr>
                <w:b/>
                <w:bCs/>
                <w:i/>
                <w:iCs/>
                <w:color w:val="262626"/>
                <w:sz w:val="22"/>
              </w:rPr>
            </w:pPr>
            <w:r w:rsidRPr="00744A55">
              <w:rPr>
                <w:b/>
                <w:bCs/>
                <w:i/>
                <w:iCs/>
                <w:color w:val="262626"/>
                <w:sz w:val="22"/>
              </w:rPr>
              <w:t>Для организаций, осуществляющих производство тепловой энергии в режиме комбинированной выработки:</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19.1.</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баланс электрической энергии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w:t>
            </w:r>
          </w:p>
        </w:tc>
      </w:tr>
      <w:tr w:rsidR="0070360F" w:rsidRPr="00744A55" w:rsidTr="002C35B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19.2.</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баланс электрической мощности, в том числе информацию об установленной, максимально доступной и рабочей генерирующей мощности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19.3.</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баланс спроса и предложения в отношении тепловой энергии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w:t>
            </w:r>
          </w:p>
        </w:tc>
      </w:tr>
      <w:tr w:rsidR="0070360F" w:rsidRPr="00744A55" w:rsidTr="002C35B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0360F" w:rsidRPr="00744A55" w:rsidRDefault="0070360F" w:rsidP="0070360F">
            <w:pPr>
              <w:jc w:val="center"/>
              <w:rPr>
                <w:color w:val="000000"/>
                <w:sz w:val="22"/>
              </w:rPr>
            </w:pPr>
            <w:r w:rsidRPr="00744A55">
              <w:rPr>
                <w:color w:val="000000"/>
                <w:sz w:val="22"/>
              </w:rPr>
              <w:t>19.4.</w:t>
            </w:r>
          </w:p>
        </w:tc>
        <w:tc>
          <w:tcPr>
            <w:tcW w:w="7371"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баланс тепловой мощности</w:t>
            </w:r>
          </w:p>
        </w:tc>
        <w:tc>
          <w:tcPr>
            <w:tcW w:w="992"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jc w:val="center"/>
              <w:rPr>
                <w:color w:val="262626"/>
                <w:sz w:val="22"/>
              </w:rPr>
            </w:pPr>
            <w:r w:rsidRPr="00744A55">
              <w:rPr>
                <w:color w:val="262626"/>
                <w:sz w:val="22"/>
              </w:rPr>
              <w:t>v</w:t>
            </w:r>
          </w:p>
        </w:tc>
        <w:tc>
          <w:tcPr>
            <w:tcW w:w="993" w:type="dxa"/>
            <w:tcBorders>
              <w:top w:val="nil"/>
              <w:left w:val="nil"/>
              <w:bottom w:val="single" w:sz="8" w:space="0" w:color="auto"/>
              <w:right w:val="single" w:sz="8" w:space="0" w:color="auto"/>
            </w:tcBorders>
            <w:shd w:val="clear" w:color="auto" w:fill="auto"/>
            <w:vAlign w:val="center"/>
            <w:hideMark/>
          </w:tcPr>
          <w:p w:rsidR="0070360F" w:rsidRPr="00744A55" w:rsidRDefault="0070360F" w:rsidP="0070360F">
            <w:pPr>
              <w:rPr>
                <w:color w:val="000000"/>
                <w:sz w:val="22"/>
              </w:rPr>
            </w:pPr>
            <w:r w:rsidRPr="00744A55">
              <w:rPr>
                <w:color w:val="000000"/>
                <w:sz w:val="22"/>
              </w:rPr>
              <w:t> </w:t>
            </w:r>
          </w:p>
        </w:tc>
      </w:tr>
    </w:tbl>
    <w:p w:rsidR="002C35B4" w:rsidRPr="00CC030D" w:rsidRDefault="002C35B4">
      <w:pPr>
        <w:rPr>
          <w:color w:val="000000"/>
          <w:spacing w:val="-2"/>
          <w:sz w:val="22"/>
          <w:lang w:val="en-US"/>
        </w:rPr>
      </w:pPr>
    </w:p>
    <w:sectPr w:rsidR="002C35B4" w:rsidRPr="00CC030D" w:rsidSect="00744A55">
      <w:headerReference w:type="even" r:id="rId10"/>
      <w:footerReference w:type="default" r:id="rId11"/>
      <w:footerReference w:type="first" r:id="rId12"/>
      <w:pgSz w:w="11906" w:h="16838" w:code="9"/>
      <w:pgMar w:top="426" w:right="851" w:bottom="426" w:left="1418" w:header="53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94" w:rsidRDefault="00793294">
      <w:r>
        <w:separator/>
      </w:r>
    </w:p>
  </w:endnote>
  <w:endnote w:type="continuationSeparator" w:id="0">
    <w:p w:rsidR="00793294" w:rsidRDefault="0079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76833"/>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884F94">
          <w:rPr>
            <w:noProof/>
          </w:rPr>
          <w:t>3</w:t>
        </w:r>
        <w:r>
          <w:fldChar w:fldCharType="end"/>
        </w:r>
      </w:p>
    </w:sdtContent>
  </w:sdt>
  <w:p w:rsidR="00F0642C" w:rsidRDefault="00F06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49639"/>
      <w:docPartObj>
        <w:docPartGallery w:val="Page Numbers (Bottom of Page)"/>
        <w:docPartUnique/>
      </w:docPartObj>
    </w:sdtPr>
    <w:sdtEndPr/>
    <w:sdtContent>
      <w:p w:rsidR="00F0642C" w:rsidRDefault="00F0642C">
        <w:pPr>
          <w:pStyle w:val="a4"/>
          <w:jc w:val="right"/>
        </w:pPr>
        <w:r>
          <w:fldChar w:fldCharType="begin"/>
        </w:r>
        <w:r>
          <w:instrText>PAGE   \* MERGEFORMAT</w:instrText>
        </w:r>
        <w:r>
          <w:fldChar w:fldCharType="separate"/>
        </w:r>
        <w:r w:rsidR="00884F94">
          <w:rPr>
            <w:noProof/>
          </w:rPr>
          <w:t>1</w:t>
        </w:r>
        <w:r>
          <w:fldChar w:fldCharType="end"/>
        </w:r>
      </w:p>
    </w:sdtContent>
  </w:sdt>
  <w:p w:rsidR="00F0642C" w:rsidRDefault="00F06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94" w:rsidRDefault="00793294">
      <w:r>
        <w:separator/>
      </w:r>
    </w:p>
  </w:footnote>
  <w:footnote w:type="continuationSeparator" w:id="0">
    <w:p w:rsidR="00793294" w:rsidRDefault="0079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C" w:rsidRDefault="00F0642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0642C" w:rsidRDefault="00F06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A41"/>
    <w:multiLevelType w:val="hybridMultilevel"/>
    <w:tmpl w:val="540CBB46"/>
    <w:lvl w:ilvl="0" w:tplc="0419000F">
      <w:start w:val="1"/>
      <w:numFmt w:val="decimal"/>
      <w:lvlText w:val="%1."/>
      <w:lvlJc w:val="left"/>
      <w:pPr>
        <w:tabs>
          <w:tab w:val="num" w:pos="900"/>
        </w:tabs>
        <w:ind w:left="900" w:hanging="360"/>
      </w:pPr>
      <w:rPr>
        <w:rFonts w:cs="Times New Roman"/>
      </w:rPr>
    </w:lvl>
    <w:lvl w:ilvl="1" w:tplc="B6E4FF6C">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39E1F78"/>
    <w:multiLevelType w:val="hybridMultilevel"/>
    <w:tmpl w:val="F31294DA"/>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6D74943"/>
    <w:multiLevelType w:val="hybridMultilevel"/>
    <w:tmpl w:val="6BC4A726"/>
    <w:lvl w:ilvl="0" w:tplc="B2141CA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06263B0"/>
    <w:multiLevelType w:val="hybridMultilevel"/>
    <w:tmpl w:val="15A23686"/>
    <w:lvl w:ilvl="0" w:tplc="42BEE54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636218"/>
    <w:multiLevelType w:val="hybridMultilevel"/>
    <w:tmpl w:val="004CAC0C"/>
    <w:lvl w:ilvl="0" w:tplc="B2141CA2">
      <w:start w:val="1"/>
      <w:numFmt w:val="bullet"/>
      <w:lvlText w:val="-"/>
      <w:lvlJc w:val="left"/>
      <w:pPr>
        <w:tabs>
          <w:tab w:val="num" w:pos="1211"/>
        </w:tabs>
        <w:ind w:left="1211" w:hanging="360"/>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281C7A"/>
    <w:multiLevelType w:val="hybridMultilevel"/>
    <w:tmpl w:val="41C214AA"/>
    <w:lvl w:ilvl="0" w:tplc="04190005">
      <w:start w:val="1"/>
      <w:numFmt w:val="bullet"/>
      <w:lvlText w:val=""/>
      <w:lvlJc w:val="left"/>
      <w:pPr>
        <w:tabs>
          <w:tab w:val="num" w:pos="1495"/>
        </w:tabs>
        <w:ind w:left="1495"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1080"/>
        </w:tabs>
        <w:ind w:left="108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A903FF"/>
    <w:multiLevelType w:val="hybridMultilevel"/>
    <w:tmpl w:val="95DCA174"/>
    <w:lvl w:ilvl="0" w:tplc="7150A9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057CC"/>
    <w:multiLevelType w:val="hybridMultilevel"/>
    <w:tmpl w:val="5914DFBC"/>
    <w:lvl w:ilvl="0" w:tplc="7DAEF38E">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B042C8"/>
    <w:multiLevelType w:val="hybridMultilevel"/>
    <w:tmpl w:val="854C584C"/>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A530DCA"/>
    <w:multiLevelType w:val="hybridMultilevel"/>
    <w:tmpl w:val="3FD40B2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CC8661A"/>
    <w:multiLevelType w:val="hybridMultilevel"/>
    <w:tmpl w:val="896C94BE"/>
    <w:lvl w:ilvl="0" w:tplc="7EB20A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666A08"/>
    <w:multiLevelType w:val="hybridMultilevel"/>
    <w:tmpl w:val="065C4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1"/>
  </w:num>
  <w:num w:numId="8">
    <w:abstractNumId w:val="5"/>
  </w:num>
  <w:num w:numId="9">
    <w:abstractNumId w:val="3"/>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C"/>
    <w:rsid w:val="00004C02"/>
    <w:rsid w:val="00005245"/>
    <w:rsid w:val="00031C6B"/>
    <w:rsid w:val="00036173"/>
    <w:rsid w:val="00046A8F"/>
    <w:rsid w:val="000514F5"/>
    <w:rsid w:val="000544FA"/>
    <w:rsid w:val="00080C50"/>
    <w:rsid w:val="00082EAA"/>
    <w:rsid w:val="000A5255"/>
    <w:rsid w:val="000B0269"/>
    <w:rsid w:val="000B2BB0"/>
    <w:rsid w:val="000C6C05"/>
    <w:rsid w:val="000E38D8"/>
    <w:rsid w:val="00113534"/>
    <w:rsid w:val="00113940"/>
    <w:rsid w:val="00114F41"/>
    <w:rsid w:val="001358E3"/>
    <w:rsid w:val="00142169"/>
    <w:rsid w:val="00155A08"/>
    <w:rsid w:val="00177091"/>
    <w:rsid w:val="001811C6"/>
    <w:rsid w:val="00192264"/>
    <w:rsid w:val="001A0CC0"/>
    <w:rsid w:val="001C4905"/>
    <w:rsid w:val="001C6B2E"/>
    <w:rsid w:val="001C6C06"/>
    <w:rsid w:val="001D3A26"/>
    <w:rsid w:val="001D786C"/>
    <w:rsid w:val="001E463F"/>
    <w:rsid w:val="002033B4"/>
    <w:rsid w:val="002276C5"/>
    <w:rsid w:val="00230063"/>
    <w:rsid w:val="0027070A"/>
    <w:rsid w:val="00273E49"/>
    <w:rsid w:val="00276C26"/>
    <w:rsid w:val="0028352D"/>
    <w:rsid w:val="00294FAC"/>
    <w:rsid w:val="00296B60"/>
    <w:rsid w:val="002A3F63"/>
    <w:rsid w:val="002A45F3"/>
    <w:rsid w:val="002B26DD"/>
    <w:rsid w:val="002C009A"/>
    <w:rsid w:val="002C35B4"/>
    <w:rsid w:val="002D71CA"/>
    <w:rsid w:val="002E3030"/>
    <w:rsid w:val="002F6F45"/>
    <w:rsid w:val="003009E1"/>
    <w:rsid w:val="003017AD"/>
    <w:rsid w:val="0031729D"/>
    <w:rsid w:val="00343D31"/>
    <w:rsid w:val="003574BE"/>
    <w:rsid w:val="003606B2"/>
    <w:rsid w:val="00375E03"/>
    <w:rsid w:val="00376050"/>
    <w:rsid w:val="00380C55"/>
    <w:rsid w:val="00393468"/>
    <w:rsid w:val="003A413F"/>
    <w:rsid w:val="003A6D25"/>
    <w:rsid w:val="003B3DA2"/>
    <w:rsid w:val="003C17F9"/>
    <w:rsid w:val="003C1D3C"/>
    <w:rsid w:val="003E68A4"/>
    <w:rsid w:val="003F338A"/>
    <w:rsid w:val="003F440E"/>
    <w:rsid w:val="003F52C8"/>
    <w:rsid w:val="00404061"/>
    <w:rsid w:val="00406385"/>
    <w:rsid w:val="00415516"/>
    <w:rsid w:val="00417002"/>
    <w:rsid w:val="0042576E"/>
    <w:rsid w:val="00427A06"/>
    <w:rsid w:val="00430165"/>
    <w:rsid w:val="00432F54"/>
    <w:rsid w:val="00440612"/>
    <w:rsid w:val="004734A6"/>
    <w:rsid w:val="004954B7"/>
    <w:rsid w:val="004C5649"/>
    <w:rsid w:val="004E2748"/>
    <w:rsid w:val="004E3F81"/>
    <w:rsid w:val="004F4C40"/>
    <w:rsid w:val="005038A8"/>
    <w:rsid w:val="00504E52"/>
    <w:rsid w:val="00517161"/>
    <w:rsid w:val="005400BB"/>
    <w:rsid w:val="005552AA"/>
    <w:rsid w:val="00564446"/>
    <w:rsid w:val="005970AE"/>
    <w:rsid w:val="005A6B59"/>
    <w:rsid w:val="005A6EE1"/>
    <w:rsid w:val="005B5575"/>
    <w:rsid w:val="005C2DA3"/>
    <w:rsid w:val="005D2855"/>
    <w:rsid w:val="005D75A5"/>
    <w:rsid w:val="005E0F39"/>
    <w:rsid w:val="005E4248"/>
    <w:rsid w:val="005F6552"/>
    <w:rsid w:val="006234CD"/>
    <w:rsid w:val="00624BAE"/>
    <w:rsid w:val="00633370"/>
    <w:rsid w:val="00634DEE"/>
    <w:rsid w:val="00644042"/>
    <w:rsid w:val="00662386"/>
    <w:rsid w:val="00665CE6"/>
    <w:rsid w:val="00671903"/>
    <w:rsid w:val="00677C9D"/>
    <w:rsid w:val="0069726A"/>
    <w:rsid w:val="006A3F30"/>
    <w:rsid w:val="006A4C3A"/>
    <w:rsid w:val="006B4F44"/>
    <w:rsid w:val="006B512C"/>
    <w:rsid w:val="006C4B9F"/>
    <w:rsid w:val="006F32EE"/>
    <w:rsid w:val="0070360F"/>
    <w:rsid w:val="007039B0"/>
    <w:rsid w:val="007050D5"/>
    <w:rsid w:val="00733A13"/>
    <w:rsid w:val="00734CC0"/>
    <w:rsid w:val="00735319"/>
    <w:rsid w:val="0073696A"/>
    <w:rsid w:val="00737AE6"/>
    <w:rsid w:val="00740C39"/>
    <w:rsid w:val="00744A55"/>
    <w:rsid w:val="00752A0A"/>
    <w:rsid w:val="00752F9B"/>
    <w:rsid w:val="00754CD2"/>
    <w:rsid w:val="00761E48"/>
    <w:rsid w:val="007824A3"/>
    <w:rsid w:val="00793294"/>
    <w:rsid w:val="007951AE"/>
    <w:rsid w:val="007954D6"/>
    <w:rsid w:val="007B4112"/>
    <w:rsid w:val="007C4DC4"/>
    <w:rsid w:val="007C62F4"/>
    <w:rsid w:val="007D05E7"/>
    <w:rsid w:val="007F2432"/>
    <w:rsid w:val="007F5EFA"/>
    <w:rsid w:val="00801E59"/>
    <w:rsid w:val="00802077"/>
    <w:rsid w:val="00816862"/>
    <w:rsid w:val="008254A3"/>
    <w:rsid w:val="0083395F"/>
    <w:rsid w:val="0085591B"/>
    <w:rsid w:val="00870A4E"/>
    <w:rsid w:val="0088383E"/>
    <w:rsid w:val="00884F94"/>
    <w:rsid w:val="008862D3"/>
    <w:rsid w:val="00896149"/>
    <w:rsid w:val="008A300E"/>
    <w:rsid w:val="008B499A"/>
    <w:rsid w:val="008D6983"/>
    <w:rsid w:val="008F74B2"/>
    <w:rsid w:val="00901BA3"/>
    <w:rsid w:val="0090552B"/>
    <w:rsid w:val="00921B19"/>
    <w:rsid w:val="0092552F"/>
    <w:rsid w:val="00931F72"/>
    <w:rsid w:val="00962520"/>
    <w:rsid w:val="009768EF"/>
    <w:rsid w:val="009938B1"/>
    <w:rsid w:val="00995050"/>
    <w:rsid w:val="009E2480"/>
    <w:rsid w:val="009E5BBE"/>
    <w:rsid w:val="00A211F0"/>
    <w:rsid w:val="00A36106"/>
    <w:rsid w:val="00A704F8"/>
    <w:rsid w:val="00A81DA6"/>
    <w:rsid w:val="00A854E5"/>
    <w:rsid w:val="00A93801"/>
    <w:rsid w:val="00AA1A60"/>
    <w:rsid w:val="00AA5E21"/>
    <w:rsid w:val="00AC1AF3"/>
    <w:rsid w:val="00AC2E4D"/>
    <w:rsid w:val="00AD0E84"/>
    <w:rsid w:val="00AE1837"/>
    <w:rsid w:val="00AE61A1"/>
    <w:rsid w:val="00B07BB0"/>
    <w:rsid w:val="00B17541"/>
    <w:rsid w:val="00B179AA"/>
    <w:rsid w:val="00B2440E"/>
    <w:rsid w:val="00B2787A"/>
    <w:rsid w:val="00B31FF9"/>
    <w:rsid w:val="00B57A95"/>
    <w:rsid w:val="00B773A7"/>
    <w:rsid w:val="00B77E6D"/>
    <w:rsid w:val="00B87707"/>
    <w:rsid w:val="00B92E2F"/>
    <w:rsid w:val="00BA240C"/>
    <w:rsid w:val="00BB12D8"/>
    <w:rsid w:val="00BC0025"/>
    <w:rsid w:val="00BC4FEC"/>
    <w:rsid w:val="00BC5466"/>
    <w:rsid w:val="00BD7148"/>
    <w:rsid w:val="00BE1629"/>
    <w:rsid w:val="00BE6564"/>
    <w:rsid w:val="00C20923"/>
    <w:rsid w:val="00C32998"/>
    <w:rsid w:val="00C60851"/>
    <w:rsid w:val="00C9030D"/>
    <w:rsid w:val="00CA3219"/>
    <w:rsid w:val="00CC030D"/>
    <w:rsid w:val="00CD6753"/>
    <w:rsid w:val="00CF0543"/>
    <w:rsid w:val="00CF29CC"/>
    <w:rsid w:val="00CF47A8"/>
    <w:rsid w:val="00CF7200"/>
    <w:rsid w:val="00D2461B"/>
    <w:rsid w:val="00D2550B"/>
    <w:rsid w:val="00D31688"/>
    <w:rsid w:val="00D321BF"/>
    <w:rsid w:val="00D35F7C"/>
    <w:rsid w:val="00D437ED"/>
    <w:rsid w:val="00D517CA"/>
    <w:rsid w:val="00D55C78"/>
    <w:rsid w:val="00D81AE7"/>
    <w:rsid w:val="00DA56FA"/>
    <w:rsid w:val="00DB6193"/>
    <w:rsid w:val="00DC7CDB"/>
    <w:rsid w:val="00DD2085"/>
    <w:rsid w:val="00DF43B2"/>
    <w:rsid w:val="00E050E0"/>
    <w:rsid w:val="00E6281C"/>
    <w:rsid w:val="00E7148A"/>
    <w:rsid w:val="00E7331F"/>
    <w:rsid w:val="00E82AD8"/>
    <w:rsid w:val="00EA6618"/>
    <w:rsid w:val="00ED0A93"/>
    <w:rsid w:val="00F00CA3"/>
    <w:rsid w:val="00F0642C"/>
    <w:rsid w:val="00F2193B"/>
    <w:rsid w:val="00F2753D"/>
    <w:rsid w:val="00F30794"/>
    <w:rsid w:val="00F32F5E"/>
    <w:rsid w:val="00F32FA1"/>
    <w:rsid w:val="00F54877"/>
    <w:rsid w:val="00F563C7"/>
    <w:rsid w:val="00F60885"/>
    <w:rsid w:val="00FB1B12"/>
    <w:rsid w:val="00FC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rsid w:val="00AC1AF3"/>
    <w:rPr>
      <w:sz w:val="24"/>
      <w:szCs w:val="24"/>
    </w:r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uiPriority w:val="99"/>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pPr>
      <w:jc w:val="both"/>
    </w:pPr>
    <w:rPr>
      <w:szCs w:val="20"/>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дресат"/>
    <w:basedOn w:val="a"/>
    <w:rsid w:val="00CA3219"/>
    <w:pPr>
      <w:spacing w:before="120"/>
    </w:pPr>
    <w:rPr>
      <w:b/>
      <w:sz w:val="26"/>
      <w:szCs w:val="20"/>
      <w:lang w:val="en-US"/>
    </w:rPr>
  </w:style>
  <w:style w:type="character" w:styleId="af6">
    <w:name w:val="FollowedHyperlink"/>
    <w:basedOn w:val="a0"/>
    <w:uiPriority w:val="99"/>
    <w:rsid w:val="00BC4FEC"/>
    <w:rPr>
      <w:color w:val="954F72" w:themeColor="followedHyperlink"/>
      <w:u w:val="single"/>
    </w:rPr>
  </w:style>
  <w:style w:type="paragraph" w:customStyle="1" w:styleId="ConsPlusNormal">
    <w:name w:val="ConsPlusNormal"/>
    <w:rsid w:val="00380C55"/>
    <w:pPr>
      <w:widowControl w:val="0"/>
      <w:autoSpaceDE w:val="0"/>
      <w:autoSpaceDN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456">
      <w:bodyDiv w:val="1"/>
      <w:marLeft w:val="0"/>
      <w:marRight w:val="0"/>
      <w:marTop w:val="0"/>
      <w:marBottom w:val="0"/>
      <w:divBdr>
        <w:top w:val="none" w:sz="0" w:space="0" w:color="auto"/>
        <w:left w:val="none" w:sz="0" w:space="0" w:color="auto"/>
        <w:bottom w:val="none" w:sz="0" w:space="0" w:color="auto"/>
        <w:right w:val="none" w:sz="0" w:space="0" w:color="auto"/>
      </w:divBdr>
    </w:div>
    <w:div w:id="581574485">
      <w:bodyDiv w:val="1"/>
      <w:marLeft w:val="0"/>
      <w:marRight w:val="0"/>
      <w:marTop w:val="0"/>
      <w:marBottom w:val="0"/>
      <w:divBdr>
        <w:top w:val="none" w:sz="0" w:space="0" w:color="auto"/>
        <w:left w:val="none" w:sz="0" w:space="0" w:color="auto"/>
        <w:bottom w:val="none" w:sz="0" w:space="0" w:color="auto"/>
        <w:right w:val="none" w:sz="0" w:space="0" w:color="auto"/>
      </w:divBdr>
    </w:div>
    <w:div w:id="1002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c.tomsk.gov.ru/news-1115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41;&#1083;&#1072;&#1085;&#1082;%20&#1044;&#1058;&#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3915-1057-4261-BD2F-FC5801EC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ДТР.dot</Template>
  <TotalTime>2</TotalTime>
  <Pages>17</Pages>
  <Words>6053</Words>
  <Characters>34507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40480</CharactersWithSpaces>
  <SharedDoc>false</SharedDoc>
  <HLinks>
    <vt:vector size="6" baseType="variant">
      <vt:variant>
        <vt:i4>6619149</vt:i4>
      </vt:variant>
      <vt:variant>
        <vt:i4>2</vt:i4>
      </vt:variant>
      <vt:variant>
        <vt:i4>0</vt:i4>
      </vt:variant>
      <vt:variant>
        <vt:i4>5</vt:i4>
      </vt:variant>
      <vt:variant>
        <vt:lpwstr>mailto:dtr@tomsk.gov.ru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Плотников С.К.</dc:creator>
  <cp:lastModifiedBy>Давидович А.А.</cp:lastModifiedBy>
  <cp:revision>4</cp:revision>
  <cp:lastPrinted>2016-04-21T06:49:00Z</cp:lastPrinted>
  <dcterms:created xsi:type="dcterms:W3CDTF">2016-04-21T11:06:00Z</dcterms:created>
  <dcterms:modified xsi:type="dcterms:W3CDTF">2016-04-21T11:20:00Z</dcterms:modified>
</cp:coreProperties>
</file>