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753" w:rsidRPr="00744A55" w:rsidRDefault="00CD6753" w:rsidP="00CD6753">
      <w:pPr>
        <w:jc w:val="right"/>
        <w:rPr>
          <w:color w:val="000000"/>
          <w:spacing w:val="-2"/>
          <w:sz w:val="22"/>
        </w:rPr>
      </w:pPr>
      <w:r w:rsidRPr="00744A55">
        <w:rPr>
          <w:color w:val="000000"/>
          <w:spacing w:val="-2"/>
          <w:sz w:val="22"/>
        </w:rPr>
        <w:t>Приложение 1 к письму</w:t>
      </w:r>
      <w:r w:rsidRPr="00744A55">
        <w:rPr>
          <w:sz w:val="22"/>
        </w:rPr>
        <w:t xml:space="preserve"> </w:t>
      </w:r>
      <w:r w:rsidRPr="00744A55">
        <w:rPr>
          <w:color w:val="000000"/>
          <w:spacing w:val="-2"/>
          <w:sz w:val="22"/>
        </w:rPr>
        <w:t>Департамента</w:t>
      </w:r>
    </w:p>
    <w:p w:rsidR="00CD6753" w:rsidRPr="00744A55" w:rsidRDefault="00CD6753" w:rsidP="00CD6753">
      <w:pPr>
        <w:jc w:val="right"/>
        <w:rPr>
          <w:color w:val="000000"/>
          <w:spacing w:val="-2"/>
          <w:sz w:val="22"/>
        </w:rPr>
      </w:pPr>
      <w:r w:rsidRPr="00744A55">
        <w:rPr>
          <w:color w:val="000000"/>
          <w:spacing w:val="-2"/>
          <w:sz w:val="22"/>
        </w:rPr>
        <w:t xml:space="preserve"> тарифного регулирования Томской области</w:t>
      </w:r>
    </w:p>
    <w:p w:rsidR="00CD6753" w:rsidRPr="00113511" w:rsidRDefault="00CD6753" w:rsidP="00CD6753">
      <w:pPr>
        <w:ind w:firstLine="720"/>
        <w:jc w:val="right"/>
        <w:rPr>
          <w:color w:val="000000"/>
          <w:spacing w:val="-2"/>
          <w:sz w:val="22"/>
          <w:lang w:val="en-US"/>
        </w:rPr>
      </w:pPr>
      <w:r w:rsidRPr="00744A55">
        <w:rPr>
          <w:color w:val="000000"/>
          <w:spacing w:val="-2"/>
          <w:sz w:val="22"/>
        </w:rPr>
        <w:t xml:space="preserve">от </w:t>
      </w:r>
      <w:r w:rsidR="00113511">
        <w:rPr>
          <w:color w:val="000000"/>
          <w:spacing w:val="-2"/>
          <w:sz w:val="22"/>
          <w:lang w:val="en-US"/>
        </w:rPr>
        <w:t>21</w:t>
      </w:r>
      <w:r w:rsidRPr="00744A55">
        <w:rPr>
          <w:color w:val="000000"/>
          <w:spacing w:val="-2"/>
          <w:sz w:val="22"/>
        </w:rPr>
        <w:t>.04.201</w:t>
      </w:r>
      <w:r w:rsidR="001C6C06" w:rsidRPr="00744A55">
        <w:rPr>
          <w:color w:val="000000"/>
          <w:spacing w:val="-2"/>
          <w:sz w:val="22"/>
        </w:rPr>
        <w:t>6</w:t>
      </w:r>
      <w:r w:rsidRPr="00744A55">
        <w:rPr>
          <w:color w:val="000000"/>
          <w:spacing w:val="-2"/>
          <w:sz w:val="22"/>
        </w:rPr>
        <w:t xml:space="preserve"> № </w:t>
      </w:r>
      <w:r w:rsidR="00113511">
        <w:rPr>
          <w:color w:val="000000"/>
          <w:spacing w:val="-2"/>
          <w:sz w:val="22"/>
          <w:lang w:val="en-US"/>
        </w:rPr>
        <w:t>53-04-0566</w:t>
      </w:r>
    </w:p>
    <w:p w:rsidR="00CD6753" w:rsidRPr="00744A55" w:rsidRDefault="00CD6753" w:rsidP="00CD6753">
      <w:pPr>
        <w:shd w:val="clear" w:color="auto" w:fill="FFFFFF"/>
        <w:tabs>
          <w:tab w:val="left" w:pos="7371"/>
        </w:tabs>
        <w:spacing w:line="320" w:lineRule="exact"/>
        <w:ind w:right="25"/>
        <w:jc w:val="right"/>
        <w:rPr>
          <w:color w:val="000000"/>
          <w:spacing w:val="-2"/>
          <w:sz w:val="22"/>
        </w:rPr>
      </w:pPr>
    </w:p>
    <w:p w:rsidR="00CD6753" w:rsidRPr="00744A55" w:rsidRDefault="00CD6753" w:rsidP="00CD6753">
      <w:pPr>
        <w:shd w:val="clear" w:color="auto" w:fill="FFFFFF"/>
        <w:tabs>
          <w:tab w:val="left" w:pos="7371"/>
        </w:tabs>
        <w:spacing w:line="320" w:lineRule="exact"/>
        <w:ind w:right="25"/>
        <w:jc w:val="center"/>
        <w:rPr>
          <w:color w:val="000000"/>
          <w:spacing w:val="-2"/>
          <w:sz w:val="22"/>
        </w:rPr>
      </w:pPr>
      <w:r w:rsidRPr="00744A55">
        <w:rPr>
          <w:b/>
          <w:color w:val="000000"/>
          <w:spacing w:val="-2"/>
          <w:sz w:val="22"/>
        </w:rPr>
        <w:t>Перечень материалов, рекомендуемых для обоснования предложений регулируемых организаций, осуществляющих деятельность в сфере электроэнергетики</w:t>
      </w:r>
    </w:p>
    <w:p w:rsidR="00CD6753" w:rsidRPr="00744A55" w:rsidRDefault="00CD6753" w:rsidP="00CD6753">
      <w:pPr>
        <w:shd w:val="clear" w:color="auto" w:fill="FFFFFF"/>
        <w:tabs>
          <w:tab w:val="left" w:pos="7371"/>
        </w:tabs>
        <w:spacing w:line="320" w:lineRule="exact"/>
        <w:ind w:right="25"/>
        <w:jc w:val="right"/>
        <w:rPr>
          <w:color w:val="000000"/>
          <w:spacing w:val="-2"/>
          <w:sz w:val="22"/>
        </w:rPr>
      </w:pPr>
    </w:p>
    <w:p w:rsidR="00CD6753" w:rsidRPr="00744A55" w:rsidRDefault="00CD6753" w:rsidP="00CD6753">
      <w:pPr>
        <w:shd w:val="clear" w:color="auto" w:fill="FFFFFF"/>
        <w:tabs>
          <w:tab w:val="left" w:pos="7371"/>
        </w:tabs>
        <w:spacing w:line="320" w:lineRule="exact"/>
        <w:ind w:right="25"/>
        <w:jc w:val="center"/>
        <w:rPr>
          <w:b/>
          <w:sz w:val="22"/>
          <w:u w:val="single"/>
        </w:rPr>
      </w:pPr>
      <w:r w:rsidRPr="00744A55">
        <w:rPr>
          <w:b/>
          <w:sz w:val="22"/>
          <w:u w:val="single"/>
        </w:rPr>
        <w:t>При предоставлении документов  необходимо учитывать следующее:</w:t>
      </w:r>
    </w:p>
    <w:p w:rsidR="00CD6753" w:rsidRPr="00744A55" w:rsidRDefault="00CD6753" w:rsidP="00CD6753">
      <w:pPr>
        <w:shd w:val="clear" w:color="auto" w:fill="FFFFFF"/>
        <w:tabs>
          <w:tab w:val="left" w:pos="7371"/>
        </w:tabs>
        <w:spacing w:line="320" w:lineRule="exact"/>
        <w:ind w:right="25"/>
        <w:jc w:val="center"/>
        <w:rPr>
          <w:b/>
          <w:sz w:val="22"/>
          <w:u w:val="single"/>
        </w:rPr>
      </w:pPr>
    </w:p>
    <w:p w:rsidR="00CD6753" w:rsidRPr="00744A55" w:rsidRDefault="00CD6753" w:rsidP="00744A55">
      <w:pPr>
        <w:shd w:val="clear" w:color="auto" w:fill="FFFFFF"/>
        <w:tabs>
          <w:tab w:val="left" w:pos="7371"/>
        </w:tabs>
        <w:spacing w:line="276" w:lineRule="auto"/>
        <w:ind w:right="25"/>
        <w:jc w:val="both"/>
        <w:rPr>
          <w:sz w:val="22"/>
        </w:rPr>
      </w:pPr>
      <w:r w:rsidRPr="00744A55">
        <w:rPr>
          <w:sz w:val="22"/>
        </w:rPr>
        <w:t>1. Копии внутренних локальных документов организации, копии договоров (с дополнительными соглашениями)  предоставляются: действующие в 201</w:t>
      </w:r>
      <w:r w:rsidR="00177091">
        <w:rPr>
          <w:sz w:val="22"/>
        </w:rPr>
        <w:t>5</w:t>
      </w:r>
      <w:r w:rsidRPr="00744A55">
        <w:rPr>
          <w:sz w:val="22"/>
        </w:rPr>
        <w:t>, 201</w:t>
      </w:r>
      <w:r w:rsidR="00177091">
        <w:rPr>
          <w:sz w:val="22"/>
        </w:rPr>
        <w:t>6</w:t>
      </w:r>
      <w:r w:rsidRPr="00744A55">
        <w:rPr>
          <w:sz w:val="22"/>
        </w:rPr>
        <w:t xml:space="preserve"> году и   на предстоящий период регулирования (при наличии)</w:t>
      </w:r>
    </w:p>
    <w:p w:rsidR="00CD6753" w:rsidRPr="00744A55" w:rsidRDefault="00CD6753" w:rsidP="00744A55">
      <w:pPr>
        <w:shd w:val="clear" w:color="auto" w:fill="FFFFFF"/>
        <w:tabs>
          <w:tab w:val="left" w:pos="7371"/>
        </w:tabs>
        <w:spacing w:line="276" w:lineRule="auto"/>
        <w:ind w:right="25"/>
        <w:jc w:val="both"/>
        <w:rPr>
          <w:sz w:val="22"/>
        </w:rPr>
      </w:pPr>
      <w:r w:rsidRPr="00744A55">
        <w:rPr>
          <w:sz w:val="22"/>
        </w:rPr>
        <w:t>2. Копии бухгалтерских, статистических, налоговых документов, подтверждающих фактические доходы и расходы, предоставляются за 201</w:t>
      </w:r>
      <w:r w:rsidR="00177091">
        <w:rPr>
          <w:sz w:val="22"/>
        </w:rPr>
        <w:t>5</w:t>
      </w:r>
      <w:r w:rsidRPr="00744A55">
        <w:rPr>
          <w:sz w:val="22"/>
        </w:rPr>
        <w:t xml:space="preserve"> год и за период с 01.01.201</w:t>
      </w:r>
      <w:r w:rsidR="00177091">
        <w:rPr>
          <w:sz w:val="22"/>
        </w:rPr>
        <w:t>6</w:t>
      </w:r>
      <w:r w:rsidRPr="00744A55">
        <w:rPr>
          <w:sz w:val="22"/>
        </w:rPr>
        <w:t xml:space="preserve"> года по состоянию на последнюю отчетную дату 201</w:t>
      </w:r>
      <w:r w:rsidR="00177091">
        <w:rPr>
          <w:sz w:val="22"/>
        </w:rPr>
        <w:t>6</w:t>
      </w:r>
      <w:r w:rsidRPr="00744A55">
        <w:rPr>
          <w:sz w:val="22"/>
        </w:rPr>
        <w:t xml:space="preserve"> года</w:t>
      </w:r>
    </w:p>
    <w:p w:rsidR="00CD6753" w:rsidRPr="00744A55" w:rsidRDefault="00CD6753" w:rsidP="00744A55">
      <w:pPr>
        <w:shd w:val="clear" w:color="auto" w:fill="FFFFFF"/>
        <w:tabs>
          <w:tab w:val="left" w:pos="7371"/>
        </w:tabs>
        <w:spacing w:line="276" w:lineRule="auto"/>
        <w:ind w:right="25"/>
        <w:jc w:val="both"/>
        <w:rPr>
          <w:sz w:val="22"/>
        </w:rPr>
      </w:pPr>
      <w:r w:rsidRPr="00744A55">
        <w:rPr>
          <w:sz w:val="22"/>
        </w:rPr>
        <w:t xml:space="preserve">3. </w:t>
      </w:r>
      <w:proofErr w:type="gramStart"/>
      <w:r w:rsidRPr="00744A55">
        <w:rPr>
          <w:sz w:val="22"/>
        </w:rPr>
        <w:t>Расчетные формы (таблицы) предоставляются за периоды: 201</w:t>
      </w:r>
      <w:r w:rsidR="00177091">
        <w:rPr>
          <w:sz w:val="22"/>
        </w:rPr>
        <w:t>3</w:t>
      </w:r>
      <w:r w:rsidRPr="00744A55">
        <w:rPr>
          <w:sz w:val="22"/>
        </w:rPr>
        <w:t xml:space="preserve"> (факт), 201</w:t>
      </w:r>
      <w:r w:rsidR="00177091">
        <w:rPr>
          <w:sz w:val="22"/>
        </w:rPr>
        <w:t>4</w:t>
      </w:r>
      <w:r w:rsidRPr="00744A55">
        <w:rPr>
          <w:sz w:val="22"/>
        </w:rPr>
        <w:t xml:space="preserve"> (факт), 201</w:t>
      </w:r>
      <w:r w:rsidR="00177091">
        <w:rPr>
          <w:sz w:val="22"/>
        </w:rPr>
        <w:t>5</w:t>
      </w:r>
      <w:r w:rsidRPr="00744A55">
        <w:rPr>
          <w:sz w:val="22"/>
        </w:rPr>
        <w:t xml:space="preserve"> (план, утвержденный при тарифном регулировании - факт), 201</w:t>
      </w:r>
      <w:r w:rsidR="00177091">
        <w:rPr>
          <w:sz w:val="22"/>
        </w:rPr>
        <w:t>6</w:t>
      </w:r>
      <w:r w:rsidRPr="00744A55">
        <w:rPr>
          <w:sz w:val="22"/>
        </w:rPr>
        <w:t xml:space="preserve"> (план, утвержденный при тарифном регулировании, -  ожидаемый факт), предстоящий период регулирования</w:t>
      </w:r>
      <w:proofErr w:type="gramEnd"/>
    </w:p>
    <w:p w:rsidR="00CD6753" w:rsidRPr="00744A55" w:rsidRDefault="00CD6753" w:rsidP="00744A55">
      <w:pPr>
        <w:shd w:val="clear" w:color="auto" w:fill="FFFFFF"/>
        <w:tabs>
          <w:tab w:val="left" w:pos="7371"/>
        </w:tabs>
        <w:spacing w:line="276" w:lineRule="auto"/>
        <w:ind w:right="25"/>
        <w:jc w:val="both"/>
        <w:rPr>
          <w:color w:val="000000"/>
          <w:spacing w:val="-2"/>
          <w:sz w:val="22"/>
        </w:rPr>
      </w:pPr>
      <w:r w:rsidRPr="00744A55">
        <w:rPr>
          <w:sz w:val="22"/>
        </w:rPr>
        <w:t xml:space="preserve">4. Расчеты организации дополнительно (кроме предоставления на бумажном носителе) должны быть представлены в электронном виде (формат </w:t>
      </w:r>
      <w:r w:rsidRPr="00744A55">
        <w:rPr>
          <w:sz w:val="22"/>
          <w:lang w:val="en-US"/>
        </w:rPr>
        <w:t>EXCEL</w:t>
      </w:r>
      <w:r w:rsidRPr="00744A55">
        <w:rPr>
          <w:sz w:val="22"/>
        </w:rPr>
        <w:t xml:space="preserve">) с сохранением формул расчета в ячейках.  </w:t>
      </w:r>
    </w:p>
    <w:tbl>
      <w:tblPr>
        <w:tblW w:w="10774" w:type="dxa"/>
        <w:tblInd w:w="-601" w:type="dxa"/>
        <w:tblLook w:val="04A0" w:firstRow="1" w:lastRow="0" w:firstColumn="1" w:lastColumn="0" w:noHBand="0" w:noVBand="1"/>
      </w:tblPr>
      <w:tblGrid>
        <w:gridCol w:w="840"/>
        <w:gridCol w:w="9934"/>
      </w:tblGrid>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1</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b/>
                <w:i/>
                <w:sz w:val="22"/>
              </w:rPr>
            </w:pPr>
            <w:r w:rsidRPr="00744A55">
              <w:rPr>
                <w:b/>
                <w:i/>
                <w:sz w:val="22"/>
              </w:rPr>
              <w:t>копии учредительных документов организации:</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jc w:val="center"/>
              <w:rPr>
                <w:sz w:val="22"/>
              </w:rPr>
            </w:pPr>
          </w:p>
        </w:tc>
        <w:tc>
          <w:tcPr>
            <w:tcW w:w="9934" w:type="dxa"/>
            <w:tcBorders>
              <w:top w:val="nil"/>
              <w:left w:val="nil"/>
              <w:bottom w:val="single" w:sz="4" w:space="0" w:color="auto"/>
              <w:right w:val="single" w:sz="4" w:space="0" w:color="auto"/>
            </w:tcBorders>
            <w:shd w:val="clear" w:color="auto" w:fill="auto"/>
            <w:vAlign w:val="center"/>
          </w:tcPr>
          <w:p w:rsidR="00CD6753" w:rsidRPr="00744A55" w:rsidRDefault="00CD6753" w:rsidP="00CD6753">
            <w:pPr>
              <w:rPr>
                <w:sz w:val="22"/>
              </w:rPr>
            </w:pPr>
            <w:r w:rsidRPr="00744A55">
              <w:rPr>
                <w:sz w:val="22"/>
              </w:rPr>
              <w:t xml:space="preserve">Устав организации </w:t>
            </w:r>
          </w:p>
        </w:tc>
      </w:tr>
      <w:tr w:rsidR="00CD6753" w:rsidRPr="00744A55" w:rsidTr="00CD675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копия информационного письма территориального органа Федеральной службы государственной статистики об учете хозяйствующего субъекта в Едином государственном регистре предприятий и организаций всех форм собственности и хозяйствования (ЕГРПО)</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 копия уведомления об освобождении от обязанностей налогоплательщика НДС в соответствии со ст.145 НК РФ</w:t>
            </w:r>
          </w:p>
        </w:tc>
      </w:tr>
      <w:tr w:rsidR="00CD6753" w:rsidRPr="00744A55" w:rsidTr="00CD675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копия уведомления (заявления организации с отметкой налогового органа) о возможности применения упрощенной системы налогообложения (УСН)</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 копия положения о порядке проведения регламентированных закупок товаров, работ услуг, для нужд предприятия</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 копия документа о назначении лица, имеющего право действовать от имени организации без доверенности</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2</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b/>
                <w:bCs/>
                <w:i/>
                <w:iCs/>
                <w:sz w:val="22"/>
              </w:rPr>
            </w:pPr>
            <w:r w:rsidRPr="00744A55">
              <w:rPr>
                <w:b/>
                <w:bCs/>
                <w:i/>
                <w:iCs/>
                <w:sz w:val="22"/>
              </w:rPr>
              <w:t xml:space="preserve">документы, обосновывающие право владения,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w:t>
            </w:r>
            <w:r w:rsidRPr="00744A55">
              <w:rPr>
                <w:bCs/>
                <w:iCs/>
                <w:sz w:val="22"/>
              </w:rPr>
              <w:t xml:space="preserve">(с учетом требований, установленных Критериями отнесения владельцев объектов электросетевого хозяйства к территориальным сетевым организациям - </w:t>
            </w:r>
            <w:r w:rsidRPr="00744A55">
              <w:rPr>
                <w:sz w:val="22"/>
              </w:rPr>
              <w:t xml:space="preserve">на срок не </w:t>
            </w:r>
            <w:proofErr w:type="gramStart"/>
            <w:r w:rsidRPr="00744A55">
              <w:rPr>
                <w:sz w:val="22"/>
              </w:rPr>
              <w:t>менее очередного</w:t>
            </w:r>
            <w:proofErr w:type="gramEnd"/>
            <w:r w:rsidRPr="00744A55">
              <w:rPr>
                <w:sz w:val="22"/>
              </w:rPr>
              <w:t xml:space="preserve"> расчетного периода регулирования</w:t>
            </w:r>
            <w:r w:rsidRPr="00744A55">
              <w:rPr>
                <w:bCs/>
                <w:iCs/>
                <w:sz w:val="22"/>
              </w:rPr>
              <w:t>)</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jc w:val="center"/>
              <w:rPr>
                <w:sz w:val="22"/>
              </w:rPr>
            </w:pPr>
          </w:p>
        </w:tc>
        <w:tc>
          <w:tcPr>
            <w:tcW w:w="9934" w:type="dxa"/>
            <w:tcBorders>
              <w:top w:val="nil"/>
              <w:left w:val="nil"/>
              <w:bottom w:val="single" w:sz="4" w:space="0" w:color="auto"/>
              <w:right w:val="single" w:sz="4" w:space="0" w:color="auto"/>
            </w:tcBorders>
            <w:shd w:val="clear" w:color="auto" w:fill="auto"/>
            <w:vAlign w:val="center"/>
          </w:tcPr>
          <w:p w:rsidR="00CD6753" w:rsidRPr="00744A55" w:rsidRDefault="00CD6753" w:rsidP="00CD6753">
            <w:pPr>
              <w:rPr>
                <w:sz w:val="22"/>
              </w:rPr>
            </w:pPr>
            <w:r w:rsidRPr="00744A55">
              <w:rPr>
                <w:sz w:val="22"/>
              </w:rPr>
              <w:t>копия свидетельства на право собственности</w:t>
            </w:r>
          </w:p>
        </w:tc>
      </w:tr>
      <w:tr w:rsidR="00CD6753" w:rsidRPr="00744A55" w:rsidTr="00CD675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копия договора купли-продажи с актами приемки-передачи и актами ввода в эксплуатацию имущества, используемого для осуществления регулируемой деятельности</w:t>
            </w:r>
          </w:p>
        </w:tc>
      </w:tr>
      <w:tr w:rsidR="00CD6753" w:rsidRPr="00744A55" w:rsidTr="00CD675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используемые для осуществления регулируемой деятельности</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сведения о кадастровом паспорте земельного участка</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копия договора аренды имущества</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копия зарегистрированного в юстиции договора аренды недвижимого имущества, находящегося в аренде со сроком более 1 года</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копии актов приема-передачи имущества к договору аренды имущества</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копия договора субаренды с актами приема-передачи имущества</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копия договора лизинга с актами приема-передачи имущества</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копия концессионного соглашения с актами приема-передачи имущества</w:t>
            </w:r>
          </w:p>
        </w:tc>
      </w:tr>
      <w:tr w:rsidR="00CD6753" w:rsidRPr="00744A55" w:rsidTr="00CD675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копии конкурсной документации и документации о проведении открытых торгов, об аукционе на заключение договора арендной платы, концессионного договора, договора лизинга</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копия договора оперативного управления с актами приема-передачи</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копия договора хозяйственного ведения с актами приемки-передачи имущества</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lastRenderedPageBreak/>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копия договора безвозмездного пользования имуществом с актами приемки-передачи имущества</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копия договора доверительного управления</w:t>
            </w:r>
          </w:p>
        </w:tc>
      </w:tr>
      <w:tr w:rsidR="00CD6753" w:rsidRPr="00744A55" w:rsidTr="00CD675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jc w:val="center"/>
              <w:rPr>
                <w:sz w:val="22"/>
              </w:rPr>
            </w:pPr>
            <w:r w:rsidRPr="00744A55">
              <w:rPr>
                <w:sz w:val="22"/>
              </w:rPr>
              <w:t>3</w:t>
            </w:r>
          </w:p>
        </w:tc>
        <w:tc>
          <w:tcPr>
            <w:tcW w:w="9934" w:type="dxa"/>
            <w:tcBorders>
              <w:top w:val="nil"/>
              <w:left w:val="nil"/>
              <w:bottom w:val="single" w:sz="4" w:space="0" w:color="auto"/>
              <w:right w:val="single" w:sz="4" w:space="0" w:color="auto"/>
            </w:tcBorders>
            <w:shd w:val="clear" w:color="auto" w:fill="auto"/>
            <w:vAlign w:val="center"/>
          </w:tcPr>
          <w:p w:rsidR="00CD6753" w:rsidRPr="00744A55" w:rsidRDefault="00CD6753" w:rsidP="00CD6753">
            <w:pPr>
              <w:rPr>
                <w:b/>
                <w:bCs/>
                <w:i/>
                <w:iCs/>
                <w:sz w:val="22"/>
              </w:rPr>
            </w:pPr>
            <w:r w:rsidRPr="00744A55">
              <w:rPr>
                <w:b/>
                <w:bCs/>
                <w:i/>
                <w:iCs/>
                <w:sz w:val="22"/>
              </w:rPr>
              <w:t>документы, подтверждающие оказание регулируемой деятельности:</w:t>
            </w:r>
          </w:p>
        </w:tc>
      </w:tr>
      <w:tr w:rsidR="00CD6753" w:rsidRPr="00744A55" w:rsidTr="00CD675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jc w:val="center"/>
              <w:rPr>
                <w:sz w:val="22"/>
              </w:rPr>
            </w:pPr>
          </w:p>
        </w:tc>
        <w:tc>
          <w:tcPr>
            <w:tcW w:w="9934" w:type="dxa"/>
            <w:tcBorders>
              <w:top w:val="nil"/>
              <w:left w:val="nil"/>
              <w:bottom w:val="single" w:sz="4" w:space="0" w:color="auto"/>
              <w:right w:val="single" w:sz="4" w:space="0" w:color="auto"/>
            </w:tcBorders>
            <w:shd w:val="clear" w:color="auto" w:fill="auto"/>
            <w:vAlign w:val="center"/>
          </w:tcPr>
          <w:p w:rsidR="00CD6753" w:rsidRPr="00744A55" w:rsidRDefault="00CD6753" w:rsidP="00CD6753">
            <w:pPr>
              <w:rPr>
                <w:bCs/>
                <w:iCs/>
                <w:sz w:val="22"/>
              </w:rPr>
            </w:pPr>
            <w:r w:rsidRPr="00744A55">
              <w:rPr>
                <w:bCs/>
                <w:iCs/>
                <w:sz w:val="22"/>
              </w:rPr>
              <w:t xml:space="preserve">копии договора оказания услуг по передаче электрической энергии с дополнительными соглашениями, оферта, направленная контрагенту </w:t>
            </w:r>
            <w:r w:rsidRPr="00744A55">
              <w:rPr>
                <w:bCs/>
                <w:i/>
                <w:iCs/>
                <w:sz w:val="22"/>
              </w:rPr>
              <w:t xml:space="preserve">(с учетом требований, установленных Критериями отнесения владельцев объектов электросетевого хозяйства к территориальным сетевым организациям - </w:t>
            </w:r>
            <w:r w:rsidRPr="00744A55">
              <w:rPr>
                <w:i/>
                <w:sz w:val="22"/>
              </w:rPr>
              <w:t xml:space="preserve">на срок не </w:t>
            </w:r>
            <w:proofErr w:type="gramStart"/>
            <w:r w:rsidRPr="00744A55">
              <w:rPr>
                <w:i/>
                <w:sz w:val="22"/>
              </w:rPr>
              <w:t>менее очередного</w:t>
            </w:r>
            <w:proofErr w:type="gramEnd"/>
            <w:r w:rsidRPr="00744A55">
              <w:rPr>
                <w:i/>
                <w:sz w:val="22"/>
              </w:rPr>
              <w:t xml:space="preserve"> расчетного периода регулирования</w:t>
            </w:r>
            <w:r w:rsidRPr="00744A55">
              <w:rPr>
                <w:bCs/>
                <w:i/>
                <w:iCs/>
                <w:sz w:val="22"/>
              </w:rPr>
              <w:t>)</w:t>
            </w:r>
          </w:p>
        </w:tc>
      </w:tr>
      <w:tr w:rsidR="00CD6753" w:rsidRPr="00744A55" w:rsidTr="00CD675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jc w:val="center"/>
              <w:rPr>
                <w:sz w:val="22"/>
              </w:rPr>
            </w:pPr>
          </w:p>
        </w:tc>
        <w:tc>
          <w:tcPr>
            <w:tcW w:w="9934" w:type="dxa"/>
            <w:tcBorders>
              <w:top w:val="nil"/>
              <w:left w:val="nil"/>
              <w:bottom w:val="single" w:sz="4" w:space="0" w:color="auto"/>
              <w:right w:val="single" w:sz="4" w:space="0" w:color="auto"/>
            </w:tcBorders>
            <w:shd w:val="clear" w:color="auto" w:fill="auto"/>
            <w:vAlign w:val="center"/>
          </w:tcPr>
          <w:p w:rsidR="00CD6753" w:rsidRPr="00744A55" w:rsidRDefault="00CD6753" w:rsidP="00CD6753">
            <w:pPr>
              <w:rPr>
                <w:bCs/>
                <w:iCs/>
                <w:sz w:val="22"/>
              </w:rPr>
            </w:pPr>
            <w:r w:rsidRPr="00744A55">
              <w:rPr>
                <w:bCs/>
                <w:iCs/>
                <w:sz w:val="22"/>
              </w:rPr>
              <w:t>документы, подтверждающие соответствие Критериям отнесения владельцев объектов электросетевого хозяйства к территориальным сетевым организациям:</w:t>
            </w:r>
          </w:p>
        </w:tc>
      </w:tr>
      <w:tr w:rsidR="00CD6753" w:rsidRPr="00744A55" w:rsidTr="00CD675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jc w:val="center"/>
              <w:rPr>
                <w:i/>
                <w:sz w:val="22"/>
              </w:rPr>
            </w:pPr>
          </w:p>
        </w:tc>
        <w:tc>
          <w:tcPr>
            <w:tcW w:w="9934" w:type="dxa"/>
            <w:tcBorders>
              <w:top w:val="nil"/>
              <w:left w:val="nil"/>
              <w:bottom w:val="single" w:sz="4" w:space="0" w:color="auto"/>
              <w:right w:val="single" w:sz="4" w:space="0" w:color="auto"/>
            </w:tcBorders>
            <w:shd w:val="clear" w:color="auto" w:fill="auto"/>
            <w:vAlign w:val="center"/>
          </w:tcPr>
          <w:p w:rsidR="00CD6753" w:rsidRPr="00744A55" w:rsidRDefault="00CD6753" w:rsidP="00CD6753">
            <w:pPr>
              <w:autoSpaceDE w:val="0"/>
              <w:autoSpaceDN w:val="0"/>
              <w:adjustRightInd w:val="0"/>
              <w:jc w:val="both"/>
              <w:outlineLvl w:val="0"/>
              <w:rPr>
                <w:i/>
                <w:sz w:val="22"/>
              </w:rPr>
            </w:pPr>
            <w:r w:rsidRPr="00744A55">
              <w:rPr>
                <w:i/>
                <w:sz w:val="22"/>
              </w:rPr>
              <w:t xml:space="preserve">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w:t>
            </w:r>
          </w:p>
        </w:tc>
      </w:tr>
      <w:tr w:rsidR="00CD6753" w:rsidRPr="00744A55" w:rsidTr="00CD675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autoSpaceDE w:val="0"/>
              <w:autoSpaceDN w:val="0"/>
              <w:adjustRightInd w:val="0"/>
              <w:jc w:val="both"/>
              <w:outlineLvl w:val="0"/>
              <w:rPr>
                <w:i/>
                <w:sz w:val="22"/>
              </w:rPr>
            </w:pPr>
          </w:p>
        </w:tc>
        <w:tc>
          <w:tcPr>
            <w:tcW w:w="9934" w:type="dxa"/>
            <w:tcBorders>
              <w:top w:val="nil"/>
              <w:left w:val="nil"/>
              <w:bottom w:val="single" w:sz="4" w:space="0" w:color="auto"/>
              <w:right w:val="single" w:sz="4" w:space="0" w:color="auto"/>
            </w:tcBorders>
            <w:shd w:val="clear" w:color="auto" w:fill="auto"/>
            <w:vAlign w:val="center"/>
          </w:tcPr>
          <w:p w:rsidR="00CD6753" w:rsidRPr="00744A55" w:rsidRDefault="00CD6753" w:rsidP="00CD6753">
            <w:pPr>
              <w:autoSpaceDE w:val="0"/>
              <w:autoSpaceDN w:val="0"/>
              <w:adjustRightInd w:val="0"/>
              <w:jc w:val="both"/>
              <w:outlineLvl w:val="0"/>
              <w:rPr>
                <w:i/>
                <w:sz w:val="22"/>
              </w:rPr>
            </w:pPr>
            <w:r w:rsidRPr="00744A55">
              <w:rPr>
                <w:i/>
                <w:sz w:val="22"/>
              </w:rPr>
              <w:t xml:space="preserve">    подтверждающие документы - копии технических паспортов на трансформаторы, используемые для осуществления регулируемой деятельности в административных границах субъекта Российской Федерации</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4 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b/>
                <w:bCs/>
                <w:i/>
                <w:iCs/>
                <w:sz w:val="22"/>
              </w:rPr>
            </w:pPr>
            <w:r w:rsidRPr="00744A55">
              <w:rPr>
                <w:b/>
                <w:bCs/>
                <w:i/>
                <w:iCs/>
                <w:sz w:val="22"/>
              </w:rPr>
              <w:t>бухгалтерская, налоговая  и статистическая отчетность за предшествующий период регулирования и на последнюю отчетную дату, с отметкой налоговой инспекции и органов государственной статистки:</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jc w:val="center"/>
              <w:rPr>
                <w:sz w:val="22"/>
              </w:rPr>
            </w:pPr>
          </w:p>
        </w:tc>
        <w:tc>
          <w:tcPr>
            <w:tcW w:w="9934" w:type="dxa"/>
            <w:tcBorders>
              <w:top w:val="nil"/>
              <w:left w:val="nil"/>
              <w:bottom w:val="single" w:sz="4" w:space="0" w:color="auto"/>
              <w:right w:val="single" w:sz="4" w:space="0" w:color="auto"/>
            </w:tcBorders>
            <w:shd w:val="clear" w:color="auto" w:fill="auto"/>
            <w:vAlign w:val="center"/>
          </w:tcPr>
          <w:p w:rsidR="00CD6753" w:rsidRPr="00744A55" w:rsidRDefault="00CD6753" w:rsidP="00CD6753">
            <w:pPr>
              <w:rPr>
                <w:sz w:val="22"/>
              </w:rPr>
            </w:pPr>
            <w:r w:rsidRPr="00744A55">
              <w:rPr>
                <w:sz w:val="22"/>
              </w:rPr>
              <w:t>форма № 1 «Бухгалтерский баланс»</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форма № 2 «Отчет о финансовых результатах»</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форма №3</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форма №4</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форма №5</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пояснительная записка к годовому бухгалтерскому балансу</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расшифровка строк отчета о прибылях и убытках (по видам деятельности)</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«Книга доходов и расходов» (для организаций применяющих упрощенную систему налогообложения)</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форма № П-4 «Сведения о численности и заработной плате работников»</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tcPr>
          <w:p w:rsidR="00CD6753" w:rsidRPr="00744A55" w:rsidRDefault="00CD6753" w:rsidP="00CD6753">
            <w:pPr>
              <w:rPr>
                <w:sz w:val="22"/>
              </w:rPr>
            </w:pPr>
            <w:r w:rsidRPr="00744A55">
              <w:rPr>
                <w:sz w:val="22"/>
              </w:rPr>
              <w:t>форма №46 ЭП</w:t>
            </w:r>
            <w:proofErr w:type="gramStart"/>
            <w:r w:rsidRPr="00744A55">
              <w:rPr>
                <w:sz w:val="22"/>
              </w:rPr>
              <w:t>.С</w:t>
            </w:r>
            <w:proofErr w:type="gramEnd"/>
            <w:r w:rsidRPr="00744A55">
              <w:rPr>
                <w:sz w:val="22"/>
              </w:rPr>
              <w:t>Т «Сведения об отпуске (передаче) электроэнергии распределительных сетевых организаций отдельным категориям потребителей»</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jc w:val="center"/>
              <w:rPr>
                <w:sz w:val="22"/>
              </w:rPr>
            </w:pPr>
          </w:p>
        </w:tc>
        <w:tc>
          <w:tcPr>
            <w:tcW w:w="9934" w:type="dxa"/>
            <w:tcBorders>
              <w:top w:val="single" w:sz="4" w:space="0" w:color="auto"/>
              <w:left w:val="nil"/>
              <w:bottom w:val="single" w:sz="4" w:space="0" w:color="auto"/>
              <w:right w:val="single" w:sz="4" w:space="0" w:color="auto"/>
            </w:tcBorders>
            <w:shd w:val="clear" w:color="auto" w:fill="auto"/>
            <w:vAlign w:val="center"/>
          </w:tcPr>
          <w:p w:rsidR="00CD6753" w:rsidRPr="00744A55" w:rsidRDefault="00CD6753" w:rsidP="00CD6753">
            <w:pPr>
              <w:rPr>
                <w:sz w:val="22"/>
              </w:rPr>
            </w:pPr>
            <w:r w:rsidRPr="00744A55">
              <w:rPr>
                <w:sz w:val="22"/>
              </w:rPr>
              <w:t>форма №46 ЭЭ</w:t>
            </w:r>
            <w:proofErr w:type="gramStart"/>
            <w:r w:rsidRPr="00744A55">
              <w:rPr>
                <w:sz w:val="22"/>
              </w:rPr>
              <w:t>.С</w:t>
            </w:r>
            <w:proofErr w:type="gramEnd"/>
            <w:r w:rsidRPr="00744A55">
              <w:rPr>
                <w:sz w:val="22"/>
              </w:rPr>
              <w:t>Т «Сведения о полезном отпуске (продаже) электроэнергии и мощности отдельным категориям потребителей»</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налоговая декларация об уплате налога на прибыль за предшествующий период регулирования</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налоговая декларация об уплате налога на имущество за предшествующий период регулирования</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налоговая декларация об уплате налога на землю за предшествующий период регулирования</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налоговая декларация об уплате транспортного налога за предшествующий период регулирования</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jc w:val="center"/>
              <w:rPr>
                <w:sz w:val="22"/>
              </w:rPr>
            </w:pPr>
          </w:p>
        </w:tc>
        <w:tc>
          <w:tcPr>
            <w:tcW w:w="9934" w:type="dxa"/>
            <w:tcBorders>
              <w:top w:val="single" w:sz="4" w:space="0" w:color="auto"/>
              <w:left w:val="nil"/>
              <w:bottom w:val="single" w:sz="4" w:space="0" w:color="auto"/>
              <w:right w:val="single" w:sz="4" w:space="0" w:color="auto"/>
            </w:tcBorders>
            <w:shd w:val="clear" w:color="auto" w:fill="auto"/>
            <w:vAlign w:val="center"/>
          </w:tcPr>
          <w:p w:rsidR="00CD6753" w:rsidRPr="00744A55" w:rsidRDefault="00CD6753" w:rsidP="00CD6753">
            <w:pPr>
              <w:rPr>
                <w:sz w:val="22"/>
              </w:rPr>
            </w:pPr>
            <w:r w:rsidRPr="00744A55">
              <w:rPr>
                <w:sz w:val="22"/>
              </w:rPr>
              <w:t>налоговая декларация об уплате налога по УСН</w:t>
            </w:r>
          </w:p>
        </w:tc>
      </w:tr>
      <w:tr w:rsidR="00CD6753" w:rsidRPr="00744A55" w:rsidTr="00CD6753">
        <w:trPr>
          <w:trHeight w:val="67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бухгалтерские и налоговые  регистры, подтверждающие обоснование фактических расходов по счетам затрат всего, в том числе по регулируемому виду деятельности (в разрезе статей затрат или номенклатуры счетов затрат) за отчетный расчетный период, в том числе:</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744A55">
            <w:pPr>
              <w:ind w:firstLineChars="100" w:firstLine="220"/>
              <w:rPr>
                <w:sz w:val="22"/>
              </w:rPr>
            </w:pPr>
            <w:r w:rsidRPr="00744A55">
              <w:rPr>
                <w:sz w:val="22"/>
              </w:rPr>
              <w:t>-01 «Основные средства»</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744A55">
            <w:pPr>
              <w:ind w:firstLineChars="100" w:firstLine="220"/>
              <w:rPr>
                <w:sz w:val="22"/>
              </w:rPr>
            </w:pPr>
            <w:r w:rsidRPr="00744A55">
              <w:rPr>
                <w:sz w:val="22"/>
              </w:rPr>
              <w:t>-02 «Амортизация основных средств»</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744A55">
            <w:pPr>
              <w:ind w:firstLineChars="100" w:firstLine="220"/>
              <w:rPr>
                <w:sz w:val="22"/>
              </w:rPr>
            </w:pPr>
            <w:r w:rsidRPr="00744A55">
              <w:rPr>
                <w:sz w:val="22"/>
              </w:rPr>
              <w:t xml:space="preserve">-08 «Вложения во </w:t>
            </w:r>
            <w:proofErr w:type="spellStart"/>
            <w:r w:rsidRPr="00744A55">
              <w:rPr>
                <w:sz w:val="22"/>
              </w:rPr>
              <w:t>внеоборотные</w:t>
            </w:r>
            <w:proofErr w:type="spellEnd"/>
            <w:r w:rsidRPr="00744A55">
              <w:rPr>
                <w:sz w:val="22"/>
              </w:rPr>
              <w:t xml:space="preserve"> активы»</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744A55">
            <w:pPr>
              <w:ind w:firstLineChars="100" w:firstLine="220"/>
              <w:rPr>
                <w:sz w:val="22"/>
              </w:rPr>
            </w:pPr>
            <w:r w:rsidRPr="00744A55">
              <w:rPr>
                <w:sz w:val="22"/>
              </w:rPr>
              <w:t>-10 «Материалы»</w:t>
            </w:r>
          </w:p>
        </w:tc>
      </w:tr>
      <w:tr w:rsidR="00CD6753" w:rsidRPr="00744A55" w:rsidTr="00CD6753">
        <w:trPr>
          <w:trHeight w:val="133"/>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744A55">
            <w:pPr>
              <w:ind w:firstLineChars="100" w:firstLine="220"/>
              <w:rPr>
                <w:sz w:val="22"/>
              </w:rPr>
            </w:pPr>
            <w:r w:rsidRPr="00744A55">
              <w:rPr>
                <w:sz w:val="22"/>
              </w:rPr>
              <w:t>-20 «Основное производство» (по видам регулируемой деятельности)</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744A55">
            <w:pPr>
              <w:ind w:firstLineChars="100" w:firstLine="220"/>
              <w:jc w:val="both"/>
              <w:rPr>
                <w:sz w:val="22"/>
              </w:rPr>
            </w:pPr>
            <w:r w:rsidRPr="00744A55">
              <w:rPr>
                <w:sz w:val="22"/>
              </w:rPr>
              <w:t>-23 «Вспомогательные производства» (по видам вспомогательных производств)</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744A55">
            <w:pPr>
              <w:ind w:firstLineChars="100" w:firstLine="220"/>
              <w:rPr>
                <w:sz w:val="22"/>
              </w:rPr>
            </w:pPr>
            <w:r w:rsidRPr="00744A55">
              <w:rPr>
                <w:sz w:val="22"/>
              </w:rPr>
              <w:t>-25 «Общепроизводственные расходы»</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744A55">
            <w:pPr>
              <w:ind w:firstLineChars="100" w:firstLine="220"/>
              <w:rPr>
                <w:sz w:val="22"/>
              </w:rPr>
            </w:pPr>
            <w:r w:rsidRPr="00744A55">
              <w:rPr>
                <w:sz w:val="22"/>
              </w:rPr>
              <w:t>-26 «Общехозяйственные расходы»</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744A55">
            <w:pPr>
              <w:ind w:firstLineChars="100" w:firstLine="220"/>
              <w:rPr>
                <w:sz w:val="22"/>
              </w:rPr>
            </w:pPr>
            <w:r w:rsidRPr="00744A55">
              <w:rPr>
                <w:sz w:val="22"/>
              </w:rPr>
              <w:t>-68 «Расчеты по налогам и сборам»</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744A55">
            <w:pPr>
              <w:ind w:firstLineChars="100" w:firstLine="220"/>
              <w:rPr>
                <w:sz w:val="22"/>
              </w:rPr>
            </w:pPr>
            <w:r w:rsidRPr="00744A55">
              <w:rPr>
                <w:sz w:val="22"/>
              </w:rPr>
              <w:t>-69 «Расчеты по социальному страхованию и обеспечению»</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744A55">
            <w:pPr>
              <w:ind w:firstLineChars="100" w:firstLine="220"/>
              <w:rPr>
                <w:sz w:val="22"/>
              </w:rPr>
            </w:pPr>
            <w:r w:rsidRPr="00744A55">
              <w:rPr>
                <w:sz w:val="22"/>
              </w:rPr>
              <w:t>-70 «Расчеты с персоналом по оплате труда»</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744A55">
            <w:pPr>
              <w:ind w:firstLineChars="100" w:firstLine="220"/>
              <w:rPr>
                <w:sz w:val="22"/>
              </w:rPr>
            </w:pPr>
            <w:r w:rsidRPr="00744A55">
              <w:rPr>
                <w:sz w:val="22"/>
              </w:rPr>
              <w:t>-90 «Продажи»:</w:t>
            </w:r>
          </w:p>
        </w:tc>
      </w:tr>
      <w:tr w:rsidR="00CD6753" w:rsidRPr="00744A55" w:rsidTr="00CD6753">
        <w:trPr>
          <w:trHeight w:val="271"/>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744A55">
            <w:pPr>
              <w:ind w:firstLineChars="100" w:firstLine="220"/>
              <w:rPr>
                <w:sz w:val="22"/>
              </w:rPr>
            </w:pPr>
            <w:r w:rsidRPr="00744A55">
              <w:rPr>
                <w:sz w:val="22"/>
              </w:rPr>
              <w:t>- себестоимость (по видам  деятельности, включая регулируемые)</w:t>
            </w:r>
          </w:p>
        </w:tc>
      </w:tr>
      <w:tr w:rsidR="00CD6753" w:rsidRPr="00744A55" w:rsidTr="00CD6753">
        <w:trPr>
          <w:trHeight w:val="26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744A55">
            <w:pPr>
              <w:ind w:firstLineChars="100" w:firstLine="220"/>
              <w:rPr>
                <w:sz w:val="22"/>
              </w:rPr>
            </w:pPr>
            <w:r w:rsidRPr="00744A55">
              <w:rPr>
                <w:sz w:val="22"/>
              </w:rPr>
              <w:t>- выручка (по видам  деятельности, включая регулируемые)</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lastRenderedPageBreak/>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744A55">
            <w:pPr>
              <w:ind w:firstLineChars="200" w:firstLine="440"/>
              <w:rPr>
                <w:sz w:val="22"/>
              </w:rPr>
            </w:pPr>
            <w:r w:rsidRPr="00744A55">
              <w:rPr>
                <w:sz w:val="22"/>
              </w:rPr>
              <w:t>- НДС.</w:t>
            </w:r>
          </w:p>
        </w:tc>
      </w:tr>
      <w:tr w:rsidR="00CD6753" w:rsidRPr="00744A55" w:rsidTr="00CD6753">
        <w:trPr>
          <w:trHeight w:val="3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744A55">
            <w:pPr>
              <w:ind w:firstLineChars="200" w:firstLine="440"/>
              <w:rPr>
                <w:sz w:val="22"/>
              </w:rPr>
            </w:pPr>
            <w:r w:rsidRPr="00744A55">
              <w:rPr>
                <w:sz w:val="22"/>
              </w:rPr>
              <w:t>- прибыль/убыток продаж (по видам  деятельности, включая регулируемые)</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744A55">
            <w:pPr>
              <w:ind w:firstLineChars="100" w:firstLine="220"/>
              <w:rPr>
                <w:sz w:val="22"/>
              </w:rPr>
            </w:pPr>
            <w:r w:rsidRPr="00744A55">
              <w:rPr>
                <w:sz w:val="22"/>
              </w:rPr>
              <w:t>-91 «Прочие доходы и расходы»</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744A55">
            <w:pPr>
              <w:ind w:firstLineChars="100" w:firstLine="220"/>
              <w:rPr>
                <w:sz w:val="22"/>
              </w:rPr>
            </w:pPr>
            <w:r w:rsidRPr="00744A55">
              <w:rPr>
                <w:sz w:val="22"/>
              </w:rPr>
              <w:t>- 91.1. «Прочие доходы»</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744A55">
            <w:pPr>
              <w:ind w:firstLineChars="100" w:firstLine="220"/>
              <w:rPr>
                <w:sz w:val="22"/>
              </w:rPr>
            </w:pPr>
            <w:r w:rsidRPr="00744A55">
              <w:rPr>
                <w:sz w:val="22"/>
              </w:rPr>
              <w:t>- 91.2. «Прочие расходы»</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744A55">
            <w:pPr>
              <w:ind w:firstLineChars="100" w:firstLine="220"/>
              <w:rPr>
                <w:sz w:val="22"/>
              </w:rPr>
            </w:pPr>
            <w:r w:rsidRPr="00744A55">
              <w:rPr>
                <w:sz w:val="22"/>
              </w:rPr>
              <w:t>-99 «Прибыли и Убытки»</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744A55">
            <w:pPr>
              <w:ind w:firstLineChars="100" w:firstLine="220"/>
              <w:rPr>
                <w:sz w:val="22"/>
              </w:rPr>
            </w:pPr>
            <w:r w:rsidRPr="00744A55">
              <w:rPr>
                <w:sz w:val="22"/>
              </w:rPr>
              <w:t xml:space="preserve">- другие счета и </w:t>
            </w:r>
            <w:proofErr w:type="spellStart"/>
            <w:r w:rsidRPr="00744A55">
              <w:rPr>
                <w:sz w:val="22"/>
              </w:rPr>
              <w:t>субсчета</w:t>
            </w:r>
            <w:proofErr w:type="spellEnd"/>
            <w:r w:rsidRPr="00744A55">
              <w:rPr>
                <w:sz w:val="22"/>
              </w:rPr>
              <w:t xml:space="preserve"> учитывающие расходы регулируемых видов деятельности;</w:t>
            </w:r>
          </w:p>
        </w:tc>
      </w:tr>
      <w:tr w:rsidR="00CD6753" w:rsidRPr="00744A55" w:rsidTr="00CD6753">
        <w:trPr>
          <w:trHeight w:val="28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расшифровку выручки за предшествующий период регулирования </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налоговые регистры в части расходов, принимаемых для налогового учета по налогу на прибыль</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расшифровка (обоснование) </w:t>
            </w:r>
            <w:proofErr w:type="gramStart"/>
            <w:r w:rsidRPr="00744A55">
              <w:rPr>
                <w:sz w:val="22"/>
              </w:rPr>
              <w:t>налоговых</w:t>
            </w:r>
            <w:proofErr w:type="gramEnd"/>
            <w:r w:rsidRPr="00744A55">
              <w:rPr>
                <w:sz w:val="22"/>
              </w:rPr>
              <w:t xml:space="preserve"> разниц, учитываемых при определении налоговой прибыли (убытка)</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копия приказа по действующей учетной политике организации  и рабочий план бухгалтерских счетов</w:t>
            </w:r>
          </w:p>
        </w:tc>
      </w:tr>
      <w:tr w:rsidR="00CD6753" w:rsidRPr="00744A55" w:rsidTr="00CD675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5</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b/>
                <w:bCs/>
                <w:i/>
                <w:iCs/>
                <w:sz w:val="22"/>
              </w:rPr>
            </w:pPr>
            <w:r w:rsidRPr="00744A55">
              <w:rPr>
                <w:b/>
                <w:bCs/>
                <w:i/>
                <w:iCs/>
                <w:sz w:val="22"/>
              </w:rPr>
              <w:t>план-факт анализ выручки по регулируемому виду деятельности за предыдущий период регулирования с указанием объемов оказанных услуг, установленных тарифов</w:t>
            </w:r>
          </w:p>
        </w:tc>
      </w:tr>
      <w:tr w:rsidR="00CD6753" w:rsidRPr="00744A55" w:rsidTr="00CD675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jc w:val="center"/>
              <w:rPr>
                <w:sz w:val="22"/>
              </w:rPr>
            </w:pPr>
            <w:r w:rsidRPr="00744A55">
              <w:rPr>
                <w:sz w:val="22"/>
              </w:rPr>
              <w:t>6</w:t>
            </w:r>
          </w:p>
        </w:tc>
        <w:tc>
          <w:tcPr>
            <w:tcW w:w="9934" w:type="dxa"/>
            <w:tcBorders>
              <w:top w:val="nil"/>
              <w:left w:val="nil"/>
              <w:bottom w:val="single" w:sz="4" w:space="0" w:color="auto"/>
              <w:right w:val="single" w:sz="4" w:space="0" w:color="auto"/>
            </w:tcBorders>
            <w:shd w:val="clear" w:color="auto" w:fill="auto"/>
            <w:vAlign w:val="center"/>
          </w:tcPr>
          <w:p w:rsidR="00CD6753" w:rsidRPr="00744A55" w:rsidRDefault="00CD6753" w:rsidP="00CD6753">
            <w:pPr>
              <w:rPr>
                <w:b/>
                <w:bCs/>
                <w:i/>
                <w:iCs/>
                <w:sz w:val="22"/>
              </w:rPr>
            </w:pPr>
            <w:r w:rsidRPr="00744A55">
              <w:rPr>
                <w:b/>
                <w:bCs/>
                <w:i/>
                <w:iCs/>
                <w:sz w:val="22"/>
              </w:rPr>
              <w:t>обоснование к расчету расходов на приобретение материалов, текущее обслуживание и ремонтные работы:</w:t>
            </w:r>
          </w:p>
        </w:tc>
      </w:tr>
      <w:tr w:rsidR="00CD6753" w:rsidRPr="00744A55" w:rsidTr="00CD675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jc w:val="center"/>
              <w:rPr>
                <w:sz w:val="22"/>
              </w:rPr>
            </w:pPr>
          </w:p>
        </w:tc>
        <w:tc>
          <w:tcPr>
            <w:tcW w:w="9934" w:type="dxa"/>
            <w:tcBorders>
              <w:top w:val="nil"/>
              <w:left w:val="nil"/>
              <w:bottom w:val="single" w:sz="4" w:space="0" w:color="auto"/>
              <w:right w:val="single" w:sz="4" w:space="0" w:color="auto"/>
            </w:tcBorders>
            <w:shd w:val="clear" w:color="auto" w:fill="auto"/>
            <w:vAlign w:val="center"/>
          </w:tcPr>
          <w:p w:rsidR="00CD6753" w:rsidRPr="00744A55" w:rsidRDefault="00CD6753" w:rsidP="00CD6753">
            <w:pPr>
              <w:rPr>
                <w:sz w:val="22"/>
              </w:rPr>
            </w:pPr>
            <w:r w:rsidRPr="00744A55">
              <w:rPr>
                <w:sz w:val="22"/>
              </w:rPr>
              <w:t>копии договоров поставки основных и вспомогательных материалов по регулируемому виду деятельности  за предшествующий период регулирования и расчетный период регулирования</w:t>
            </w:r>
          </w:p>
        </w:tc>
      </w:tr>
      <w:tr w:rsidR="00CD6753" w:rsidRPr="00744A55" w:rsidTr="00CD675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 расчет затрат на приобретение вспомогательных материалов в целом по предприятию и в разрезе структурных подразделений по регулируемому виду деятельности за предшествующий период регулирования и расчетный период регулирования</w:t>
            </w:r>
          </w:p>
        </w:tc>
      </w:tr>
      <w:tr w:rsidR="00CD6753" w:rsidRPr="00744A55" w:rsidTr="00CD6753">
        <w:trPr>
          <w:trHeight w:val="416"/>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перечень израсходованных и необходимых материалов для обслуживания и ремонта производственного оборудования, с указанием объектов ремонта, количества и цены (дефектные ведомости, планы-графики ремонтов, акты списания, </w:t>
            </w:r>
            <w:proofErr w:type="gramStart"/>
            <w:r w:rsidRPr="00744A55">
              <w:rPr>
                <w:sz w:val="22"/>
              </w:rPr>
              <w:t>счет-фактуры</w:t>
            </w:r>
            <w:proofErr w:type="gramEnd"/>
            <w:r w:rsidRPr="00744A55">
              <w:rPr>
                <w:sz w:val="22"/>
              </w:rPr>
              <w:t>, прайс-листы, утвержденные нормы расходов материалов)</w:t>
            </w:r>
          </w:p>
        </w:tc>
      </w:tr>
      <w:tr w:rsidR="00CD6753" w:rsidRPr="00744A55" w:rsidTr="00CD675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акты и </w:t>
            </w:r>
            <w:proofErr w:type="gramStart"/>
            <w:r w:rsidRPr="00744A55">
              <w:rPr>
                <w:sz w:val="22"/>
              </w:rPr>
              <w:t>счет-фактуры</w:t>
            </w:r>
            <w:proofErr w:type="gramEnd"/>
            <w:r w:rsidRPr="00744A55">
              <w:rPr>
                <w:sz w:val="22"/>
              </w:rPr>
              <w:t xml:space="preserve"> по выполненным работам и оказанным услугам подрядными организациями, программы (графики) проведения ремонтных работ, договоры с подрядными организациями, сметы по видам работ, дефектные ведомости, акты надзорных организаций</w:t>
            </w:r>
          </w:p>
        </w:tc>
      </w:tr>
      <w:tr w:rsidR="00CD6753" w:rsidRPr="00744A55" w:rsidTr="00CD6753">
        <w:trPr>
          <w:trHeight w:val="45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предписания уполномоченных государственных контролирующих (надзорных) органов об устранении нарушений на ДЭС и (или) электрических сетях</w:t>
            </w:r>
          </w:p>
        </w:tc>
      </w:tr>
      <w:tr w:rsidR="00CD6753" w:rsidRPr="00744A55" w:rsidTr="00CD6753">
        <w:trPr>
          <w:trHeight w:val="45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расчет затрат на регламентные и пусконаладочные работы, относящиеся к регулируемому виду деятельности, в разрезе структурных подразделений предприятия за предшествующий период регулирования и расчетный период регулирования</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перечень выполненных работ по текущему и капитальному ремонту в базовом периоде</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договоры, акты выполненных работ, акты на списание материалов, счета-фактуры на выполненные работы в базовом периоде</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перечень планируемых работ по текущему и капитальному ремонту в регулируемом периоде</w:t>
            </w:r>
          </w:p>
        </w:tc>
      </w:tr>
      <w:tr w:rsidR="00CD6753" w:rsidRPr="00744A55" w:rsidTr="00CD6753">
        <w:trPr>
          <w:trHeight w:val="45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копии договоров с подрядными организациями и проектно-сметная документация на планируемые к выполнению в регулируемом периоде ремонтные работы по капитальному ремонту</w:t>
            </w:r>
          </w:p>
        </w:tc>
      </w:tr>
      <w:tr w:rsidR="00CD6753" w:rsidRPr="00744A55" w:rsidTr="00CD6753">
        <w:trPr>
          <w:trHeight w:val="45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расчет стоимости материалов с обоснованием цены и средств на оплату труда при выполнении ремонтных работ хозяйственным способом, прайс-листы</w:t>
            </w:r>
          </w:p>
        </w:tc>
      </w:tr>
      <w:tr w:rsidR="00CD6753" w:rsidRPr="00744A55" w:rsidTr="00CD6753">
        <w:trPr>
          <w:trHeight w:val="45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копии документов, подтверждающих проведение заявителем торгов (извещение, документация о проведении торгов, протоколы, составляемые в ходе проведения торгов) на проведение ремонтных работ</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7</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744A55">
            <w:pPr>
              <w:ind w:firstLineChars="100" w:firstLine="221"/>
              <w:rPr>
                <w:b/>
                <w:bCs/>
                <w:i/>
                <w:iCs/>
                <w:sz w:val="22"/>
              </w:rPr>
            </w:pPr>
            <w:r w:rsidRPr="00744A55">
              <w:rPr>
                <w:b/>
                <w:bCs/>
                <w:i/>
                <w:iCs/>
                <w:sz w:val="22"/>
              </w:rPr>
              <w:t>обоснования к расчету амортизационных отчислений и арендной платы:</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jc w:val="center"/>
              <w:rPr>
                <w:sz w:val="22"/>
              </w:rPr>
            </w:pPr>
          </w:p>
        </w:tc>
        <w:tc>
          <w:tcPr>
            <w:tcW w:w="9934" w:type="dxa"/>
            <w:tcBorders>
              <w:top w:val="single" w:sz="4" w:space="0" w:color="auto"/>
              <w:left w:val="nil"/>
              <w:bottom w:val="single" w:sz="4" w:space="0" w:color="auto"/>
              <w:right w:val="single" w:sz="4" w:space="0" w:color="auto"/>
            </w:tcBorders>
            <w:shd w:val="clear" w:color="auto" w:fill="auto"/>
            <w:vAlign w:val="center"/>
          </w:tcPr>
          <w:p w:rsidR="00CD6753" w:rsidRPr="00744A55" w:rsidRDefault="00CD6753" w:rsidP="00CD6753">
            <w:pPr>
              <w:rPr>
                <w:sz w:val="22"/>
              </w:rPr>
            </w:pPr>
            <w:r w:rsidRPr="00744A55">
              <w:rPr>
                <w:sz w:val="22"/>
              </w:rPr>
              <w:t>копии актов ввода в эксплуатацию основных фондов</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копии документов, подтверждающих проведение переоценки основных средств за фактический и расчетный период регулирования:</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744A55">
            <w:pPr>
              <w:ind w:firstLineChars="100" w:firstLine="220"/>
              <w:rPr>
                <w:sz w:val="22"/>
              </w:rPr>
            </w:pPr>
            <w:r w:rsidRPr="00744A55">
              <w:rPr>
                <w:sz w:val="22"/>
              </w:rPr>
              <w:t>1) копии приказа о проведении переоценки</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744A55">
            <w:pPr>
              <w:ind w:firstLineChars="100" w:firstLine="220"/>
              <w:rPr>
                <w:sz w:val="22"/>
              </w:rPr>
            </w:pPr>
            <w:r w:rsidRPr="00744A55">
              <w:rPr>
                <w:sz w:val="22"/>
              </w:rPr>
              <w:t>2) лицензии предприятия, осуществившего переоценку</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744A55">
            <w:pPr>
              <w:ind w:firstLineChars="100" w:firstLine="220"/>
              <w:rPr>
                <w:sz w:val="22"/>
              </w:rPr>
            </w:pPr>
            <w:r w:rsidRPr="00744A55">
              <w:rPr>
                <w:sz w:val="22"/>
              </w:rPr>
              <w:t>3) договора  на проведение переоценки основных средств</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4) справка о движении основных средств на последнюю отчетную дату</w:t>
            </w:r>
          </w:p>
        </w:tc>
      </w:tr>
      <w:tr w:rsidR="00CD6753" w:rsidRPr="00744A55" w:rsidTr="00CD6753">
        <w:trPr>
          <w:trHeight w:val="79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справка (сведения) о фактических амортизационных отчислениях на полное восстановление ОПФ  в разрезе структурных подразделений по регулируемому виду деятельности и видам деятельности (вспомогательные производства общехозяйственные расходы), распределение затрат которых производится на регулируемые виды деятельности,  за предшествующий расчетный период </w:t>
            </w:r>
            <w:r w:rsidRPr="00744A55">
              <w:rPr>
                <w:sz w:val="22"/>
              </w:rPr>
              <w:lastRenderedPageBreak/>
              <w:t>регулирования</w:t>
            </w:r>
          </w:p>
        </w:tc>
      </w:tr>
      <w:tr w:rsidR="00CD6753" w:rsidRPr="00744A55" w:rsidTr="00CD6753">
        <w:trPr>
          <w:trHeight w:val="9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lastRenderedPageBreak/>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proofErr w:type="gramStart"/>
            <w:r w:rsidRPr="00744A55">
              <w:rPr>
                <w:sz w:val="22"/>
              </w:rPr>
              <w:t>расчет амортизационных отчислений по объектам основных фондов, относящимся к регулируемой деятельности в сфере электроснабжения и видам деятельности (вспомогательные производства общехозяйственные расходы), распределение затрат которых производится на регулируемые виды деятельности,  выполненный в соответствии с амортизационной ведомостью на регулируемый период (с обязательным указанием срока ввода объекта в эксплуатацию) с учетом пункта 27 Основ ценообразования (утв. ППРФ 1178)</w:t>
            </w:r>
            <w:proofErr w:type="gramEnd"/>
          </w:p>
        </w:tc>
      </w:tr>
      <w:tr w:rsidR="00CD6753" w:rsidRPr="00744A55" w:rsidTr="00CD6753">
        <w:trPr>
          <w:trHeight w:val="67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proofErr w:type="gramStart"/>
            <w:r w:rsidRPr="00744A55">
              <w:rPr>
                <w:sz w:val="22"/>
              </w:rPr>
              <w:t>расшифровка арендной платы (концессионной платы, лизингового платежа) с указанием размера амортизации, налогов на имущество и землю и других установленных законодательством Российской Федерации обязательных платежей на арендуемое имущество и прибыли арендодателя (с расшифровкой по каждому объекту) за прошедший период регулирования и на плановый период регулирования (согласно пп.5 п. 28 Основ ценообразования, утв. ППРФ 1178)</w:t>
            </w:r>
            <w:proofErr w:type="gramEnd"/>
          </w:p>
        </w:tc>
      </w:tr>
      <w:tr w:rsidR="00CD6753" w:rsidRPr="00744A55" w:rsidTr="00CD675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8 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b/>
                <w:bCs/>
                <w:i/>
                <w:iCs/>
                <w:sz w:val="22"/>
              </w:rPr>
            </w:pPr>
            <w:r w:rsidRPr="00744A55">
              <w:rPr>
                <w:b/>
                <w:bCs/>
                <w:i/>
                <w:iCs/>
                <w:sz w:val="22"/>
              </w:rPr>
              <w:t xml:space="preserve"> обоснования к расчету  транспортных расходов:</w:t>
            </w:r>
          </w:p>
        </w:tc>
      </w:tr>
      <w:tr w:rsidR="00CD6753" w:rsidRPr="00744A55" w:rsidTr="00CD675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jc w:val="center"/>
              <w:rPr>
                <w:sz w:val="22"/>
              </w:rPr>
            </w:pPr>
          </w:p>
        </w:tc>
        <w:tc>
          <w:tcPr>
            <w:tcW w:w="9934" w:type="dxa"/>
            <w:tcBorders>
              <w:top w:val="single" w:sz="4" w:space="0" w:color="auto"/>
              <w:left w:val="nil"/>
              <w:bottom w:val="single" w:sz="4" w:space="0" w:color="auto"/>
              <w:right w:val="single" w:sz="4" w:space="0" w:color="auto"/>
            </w:tcBorders>
            <w:shd w:val="clear" w:color="auto" w:fill="auto"/>
            <w:vAlign w:val="center"/>
          </w:tcPr>
          <w:p w:rsidR="00CD6753" w:rsidRPr="00744A55" w:rsidRDefault="00CD6753" w:rsidP="00CD6753">
            <w:pPr>
              <w:rPr>
                <w:sz w:val="22"/>
              </w:rPr>
            </w:pPr>
            <w:r w:rsidRPr="00744A55">
              <w:rPr>
                <w:sz w:val="22"/>
              </w:rPr>
              <w:t>расчет затрат на услуги привлеченного транспорта в разрезе видов транспорта по регулируемому виду деятельности за предшествующий период регулирования и расчетный период регулирования в целом  по предприятию  и в разрезе структурных подразделений;</w:t>
            </w:r>
          </w:p>
        </w:tc>
      </w:tr>
      <w:tr w:rsidR="00CD6753" w:rsidRPr="00744A55" w:rsidTr="00CD675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копии договоров на оказание  услуг транспорта с приложением копий дополнительных соглашений, относящихся к регулируемому виду деятельности  за предшествующий расчетный период регулирования и расчетный период регулирования</w:t>
            </w:r>
          </w:p>
        </w:tc>
      </w:tr>
      <w:tr w:rsidR="00CD6753" w:rsidRPr="00744A55" w:rsidTr="00CD6753">
        <w:trPr>
          <w:trHeight w:val="6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 расчет затрат на приобретение ГСМ, запасных частей и расходных материалов для автотранспорта предприятия в целом по предприятию и в разрезе структурных подразделений по регулируемому виду деятельности за предшествующий период регулирования и расчетный период регулирования</w:t>
            </w:r>
          </w:p>
        </w:tc>
      </w:tr>
      <w:tr w:rsidR="00CD6753" w:rsidRPr="00744A55" w:rsidTr="00CD6753">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расчет распределения транспортных расходов между видами осуществляемой деятельности, в том числе регулируемыми, за предшествующий расчетный период регулирования и расчетный период регулирования</w:t>
            </w:r>
          </w:p>
        </w:tc>
      </w:tr>
      <w:tr w:rsidR="00CD6753" w:rsidRPr="00744A55" w:rsidTr="00CD6753">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9 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b/>
                <w:bCs/>
                <w:i/>
                <w:iCs/>
                <w:sz w:val="22"/>
              </w:rPr>
            </w:pPr>
            <w:r w:rsidRPr="00744A55">
              <w:rPr>
                <w:b/>
                <w:bCs/>
                <w:i/>
                <w:iCs/>
                <w:sz w:val="22"/>
              </w:rPr>
              <w:t>обоснование к расчету расходов на оплату труда:</w:t>
            </w:r>
          </w:p>
        </w:tc>
      </w:tr>
      <w:tr w:rsidR="00CD6753" w:rsidRPr="00744A55" w:rsidTr="00CD6753">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jc w:val="center"/>
              <w:rPr>
                <w:sz w:val="22"/>
              </w:rPr>
            </w:pPr>
          </w:p>
        </w:tc>
        <w:tc>
          <w:tcPr>
            <w:tcW w:w="9934" w:type="dxa"/>
            <w:tcBorders>
              <w:top w:val="single" w:sz="4" w:space="0" w:color="auto"/>
              <w:left w:val="nil"/>
              <w:bottom w:val="single" w:sz="4" w:space="0" w:color="auto"/>
              <w:right w:val="single" w:sz="4" w:space="0" w:color="auto"/>
            </w:tcBorders>
            <w:shd w:val="clear" w:color="auto" w:fill="auto"/>
            <w:vAlign w:val="center"/>
          </w:tcPr>
          <w:p w:rsidR="00CD6753" w:rsidRPr="00744A55" w:rsidRDefault="00CD6753" w:rsidP="00CD6753">
            <w:pPr>
              <w:rPr>
                <w:sz w:val="22"/>
              </w:rPr>
            </w:pPr>
            <w:r w:rsidRPr="00744A55">
              <w:rPr>
                <w:sz w:val="22"/>
              </w:rPr>
              <w:t xml:space="preserve"> копии штатного расписания и приказа  его утверждающего по подразделению, занятому регулируемыми видами деятельности за предшествующий период регулирования и на расчетный период регулирования</w:t>
            </w:r>
          </w:p>
        </w:tc>
      </w:tr>
      <w:tr w:rsidR="00CD6753" w:rsidRPr="00744A55" w:rsidTr="00CD675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копия положения об оплате труда с приложением приказа его утверждающего за предшествующий расчетный период регулирования и на расчетный период регулирования</w:t>
            </w:r>
          </w:p>
        </w:tc>
      </w:tr>
      <w:tr w:rsidR="00CD6753" w:rsidRPr="00744A55" w:rsidTr="00CD675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 копия положения о премировании за основные результаты </w:t>
            </w:r>
            <w:proofErr w:type="spellStart"/>
            <w:r w:rsidRPr="00744A55">
              <w:rPr>
                <w:sz w:val="22"/>
              </w:rPr>
              <w:t>производственно</w:t>
            </w:r>
            <w:proofErr w:type="spellEnd"/>
            <w:r w:rsidRPr="00744A55">
              <w:rPr>
                <w:sz w:val="22"/>
              </w:rPr>
              <w:t xml:space="preserve"> - хозяйственной деятельности работников предприятия с приложение приказа его утверждающего за предшествующий расчетный период регулирования, на расчетный период регулирования</w:t>
            </w:r>
          </w:p>
        </w:tc>
      </w:tr>
      <w:tr w:rsidR="00CD6753" w:rsidRPr="00744A55" w:rsidTr="00CD675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 копия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на расчетный период регулирования</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коллективный договор (или отдельные положения):</w:t>
            </w:r>
          </w:p>
        </w:tc>
      </w:tr>
      <w:tr w:rsidR="00CD6753" w:rsidRPr="00744A55" w:rsidTr="00CD675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1) положение о поощрении сотрудников наградами предприятия  с приложением приказа его утверждающего за предшествующий расчетный период регулирования, на расчетный период регулирования</w:t>
            </w:r>
          </w:p>
        </w:tc>
      </w:tr>
      <w:tr w:rsidR="00CD6753" w:rsidRPr="00744A55" w:rsidTr="00CD675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2) положение  о выплатах социального характера неработающим пенсионерам предприятия с приложением приказа его утверждающего за предшествующий расчетный период регулирования, на расчетный период регулирования</w:t>
            </w:r>
          </w:p>
        </w:tc>
      </w:tr>
      <w:tr w:rsidR="00CD6753" w:rsidRPr="00744A55" w:rsidTr="00CD675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3) положение о материальной помощи работникам предприятия с приложением приказа его утверждающего за предшествующий расчетный период регулирования, на расчетный период регулирования</w:t>
            </w:r>
          </w:p>
        </w:tc>
      </w:tr>
      <w:tr w:rsidR="00CD6753" w:rsidRPr="00744A55" w:rsidTr="00CD6753">
        <w:trPr>
          <w:trHeight w:val="6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расчет нормативной численности, планового фонда оплаты труда персонала (основной производственный персонал по регулируемому виду деятельности в разрезе структурных подразделений, инженерно-технический персонал, административно-управленческий персонал, транспортный участок) на расчетный  период регулирования</w:t>
            </w:r>
          </w:p>
        </w:tc>
      </w:tr>
      <w:tr w:rsidR="00CD6753" w:rsidRPr="00744A55" w:rsidTr="00CD6753">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расчет  отчислений на социальные нужды, страховых взносов в государственные внебюджетные фонды (в соответствии с действующим законодательством в размерах, установленных нормативными правовыми актами Российской Федерации)</w:t>
            </w:r>
          </w:p>
        </w:tc>
      </w:tr>
      <w:tr w:rsidR="00CD6753" w:rsidRPr="00744A55" w:rsidTr="00CD6753">
        <w:trPr>
          <w:trHeight w:val="6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расчет средней ступени по оплате труда (среднего разряда работников) и среднего тарифного коэффициента, расчет процента выплат, надбавок и премий, связанных с условиями труда по </w:t>
            </w:r>
            <w:r w:rsidRPr="00744A55">
              <w:rPr>
                <w:sz w:val="22"/>
              </w:rPr>
              <w:lastRenderedPageBreak/>
              <w:t>регулируемому виду деятельности в разрезе структурных подразделений и категорий работников</w:t>
            </w:r>
          </w:p>
        </w:tc>
      </w:tr>
      <w:tr w:rsidR="00CD6753" w:rsidRPr="00744A55" w:rsidTr="00CD6753">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lastRenderedPageBreak/>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сводная ведомость начисленной заработной платы по регулируемому виду деятельности в разрезе структурных подразделений за предшествующий период регулирования </w:t>
            </w:r>
          </w:p>
        </w:tc>
      </w:tr>
      <w:tr w:rsidR="00CD6753" w:rsidRPr="00744A55" w:rsidTr="00CD6753">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сводная ведомость по фонду оплаты труда АУП и цехового персонала с указанием численности  за предшествующий период регулирования  с помесячной разбивкой</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копия документа, подтверждающего размер минимальной месячной тарифной ставки рабочих первого разряда</w:t>
            </w:r>
          </w:p>
        </w:tc>
      </w:tr>
      <w:tr w:rsidR="00CD6753" w:rsidRPr="00744A55" w:rsidTr="00CD6753">
        <w:trPr>
          <w:trHeight w:val="267"/>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10 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b/>
                <w:bCs/>
                <w:i/>
                <w:iCs/>
                <w:sz w:val="22"/>
              </w:rPr>
            </w:pPr>
            <w:r w:rsidRPr="00744A55">
              <w:rPr>
                <w:b/>
                <w:bCs/>
                <w:i/>
                <w:iCs/>
                <w:sz w:val="22"/>
              </w:rPr>
              <w:t>обоснование к расчету расходов на оплату иных работ и услуг, выполняемых по договорам со сторонними организациями, прочих расходов и общехозяйственных расходов:</w:t>
            </w:r>
          </w:p>
        </w:tc>
      </w:tr>
      <w:tr w:rsidR="00CD6753" w:rsidRPr="00744A55" w:rsidTr="00CD6753">
        <w:trPr>
          <w:trHeight w:val="267"/>
        </w:trPr>
        <w:tc>
          <w:tcPr>
            <w:tcW w:w="840" w:type="dxa"/>
            <w:tcBorders>
              <w:top w:val="nil"/>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jc w:val="center"/>
              <w:rPr>
                <w:sz w:val="22"/>
              </w:rPr>
            </w:pPr>
          </w:p>
        </w:tc>
        <w:tc>
          <w:tcPr>
            <w:tcW w:w="9934" w:type="dxa"/>
            <w:tcBorders>
              <w:top w:val="nil"/>
              <w:left w:val="nil"/>
              <w:bottom w:val="single" w:sz="4" w:space="0" w:color="auto"/>
              <w:right w:val="single" w:sz="4" w:space="0" w:color="auto"/>
            </w:tcBorders>
            <w:shd w:val="clear" w:color="auto" w:fill="auto"/>
            <w:vAlign w:val="center"/>
          </w:tcPr>
          <w:p w:rsidR="00CD6753" w:rsidRPr="00744A55" w:rsidRDefault="00CD6753" w:rsidP="00CD6753">
            <w:pPr>
              <w:rPr>
                <w:sz w:val="22"/>
              </w:rPr>
            </w:pPr>
            <w:r w:rsidRPr="00744A55">
              <w:rPr>
                <w:sz w:val="22"/>
              </w:rPr>
              <w:t>копии договоров  на работы и услуги производственного характера, возмездного оказания услуг сторонними организациями, с приложением счетов-фактур, актов выполненных работ</w:t>
            </w:r>
          </w:p>
        </w:tc>
      </w:tr>
      <w:tr w:rsidR="00CD6753" w:rsidRPr="00744A55" w:rsidTr="00CD6753">
        <w:trPr>
          <w:trHeight w:val="31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реестр договоров по видам услуг, оказываемым сторонними организациями</w:t>
            </w:r>
          </w:p>
        </w:tc>
      </w:tr>
      <w:tr w:rsidR="00CD6753" w:rsidRPr="00744A55" w:rsidTr="00CD6753">
        <w:trPr>
          <w:trHeight w:val="6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сметы-расшифровки  расходов  и расчет затрат по каждой статье затрат (работы и услуг, выполняемые по договорам со сторонними организациями, прочие расходы и общехозяйственные расходы) за предшествующий период регулирования и на  расчетный период регулирования</w:t>
            </w:r>
          </w:p>
        </w:tc>
      </w:tr>
      <w:tr w:rsidR="00CD6753" w:rsidRPr="00744A55" w:rsidTr="00CD6753">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смета общехозяйственных расходов с приложением по каждой статье затрат расчетов и обосновывающих документов</w:t>
            </w:r>
          </w:p>
        </w:tc>
      </w:tr>
      <w:tr w:rsidR="00CD6753" w:rsidRPr="00744A55" w:rsidTr="00CD6753">
        <w:trPr>
          <w:trHeight w:val="45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расчет распределения общехозяйственных расходов между видами осуществляемой деятельности, в том числе регулируемыми, за предшествующий расчетный период регулирования и расчетный период регулирования</w:t>
            </w:r>
          </w:p>
        </w:tc>
      </w:tr>
      <w:tr w:rsidR="00CD6753" w:rsidRPr="00744A55" w:rsidTr="00CD6753">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расшифровка  расходов и расчет затрат на страхование за предшествующий период регулирования и на  расчетный период регулирования с приложением обосновывающих документов (договор страхования, страховой полис)</w:t>
            </w:r>
            <w:proofErr w:type="gramStart"/>
            <w:r w:rsidRPr="00744A55">
              <w:rPr>
                <w:sz w:val="22"/>
              </w:rPr>
              <w:t xml:space="preserve"> ;</w:t>
            </w:r>
            <w:proofErr w:type="gramEnd"/>
          </w:p>
        </w:tc>
      </w:tr>
      <w:tr w:rsidR="00CD6753" w:rsidRPr="00744A55" w:rsidTr="00CD6753">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11</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b/>
                <w:bCs/>
                <w:i/>
                <w:iCs/>
                <w:sz w:val="22"/>
              </w:rPr>
            </w:pPr>
            <w:r w:rsidRPr="00744A55">
              <w:rPr>
                <w:b/>
                <w:bCs/>
                <w:i/>
                <w:iCs/>
                <w:sz w:val="22"/>
              </w:rPr>
              <w:t>обоснование к расчету расходов по мероприятиям согласно программ</w:t>
            </w:r>
            <w:proofErr w:type="gramStart"/>
            <w:r w:rsidRPr="00744A55">
              <w:rPr>
                <w:b/>
                <w:bCs/>
                <w:i/>
                <w:iCs/>
                <w:sz w:val="22"/>
                <w:lang w:val="en-US"/>
              </w:rPr>
              <w:t>e</w:t>
            </w:r>
            <w:proofErr w:type="gramEnd"/>
            <w:r w:rsidRPr="00744A55">
              <w:rPr>
                <w:b/>
                <w:bCs/>
                <w:i/>
                <w:iCs/>
                <w:sz w:val="22"/>
              </w:rPr>
              <w:t xml:space="preserve"> энергосбережения и повышения </w:t>
            </w:r>
            <w:proofErr w:type="spellStart"/>
            <w:r w:rsidRPr="00744A55">
              <w:rPr>
                <w:b/>
                <w:bCs/>
                <w:i/>
                <w:iCs/>
                <w:sz w:val="22"/>
              </w:rPr>
              <w:t>энергоэффективности</w:t>
            </w:r>
            <w:proofErr w:type="spellEnd"/>
            <w:r w:rsidRPr="00744A55">
              <w:rPr>
                <w:b/>
                <w:bCs/>
                <w:i/>
                <w:iCs/>
                <w:sz w:val="22"/>
              </w:rPr>
              <w:t>:</w:t>
            </w:r>
          </w:p>
        </w:tc>
      </w:tr>
      <w:tr w:rsidR="00CD6753" w:rsidRPr="00744A55" w:rsidTr="00CD6753">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jc w:val="center"/>
              <w:rPr>
                <w:sz w:val="22"/>
              </w:rPr>
            </w:pPr>
          </w:p>
        </w:tc>
        <w:tc>
          <w:tcPr>
            <w:tcW w:w="9934" w:type="dxa"/>
            <w:tcBorders>
              <w:top w:val="single" w:sz="4" w:space="0" w:color="auto"/>
              <w:left w:val="nil"/>
              <w:bottom w:val="single" w:sz="4" w:space="0" w:color="auto"/>
              <w:right w:val="single" w:sz="4" w:space="0" w:color="auto"/>
            </w:tcBorders>
            <w:shd w:val="clear" w:color="auto" w:fill="auto"/>
            <w:vAlign w:val="center"/>
          </w:tcPr>
          <w:p w:rsidR="00CD6753" w:rsidRPr="00744A55" w:rsidRDefault="00CD6753" w:rsidP="00CD6753">
            <w:pPr>
              <w:rPr>
                <w:sz w:val="22"/>
              </w:rPr>
            </w:pPr>
            <w:r w:rsidRPr="00744A55">
              <w:rPr>
                <w:sz w:val="22"/>
              </w:rPr>
              <w:t xml:space="preserve">программа энергосбережения и повышения </w:t>
            </w:r>
            <w:proofErr w:type="spellStart"/>
            <w:r w:rsidRPr="00744A55">
              <w:rPr>
                <w:sz w:val="22"/>
              </w:rPr>
              <w:t>энергоэффективности</w:t>
            </w:r>
            <w:proofErr w:type="spellEnd"/>
            <w:r w:rsidRPr="00744A55">
              <w:rPr>
                <w:sz w:val="22"/>
              </w:rPr>
              <w:t xml:space="preserve"> по регулируемому виду деятельности  за предшествующий расчетный период регулирования (формат документов </w:t>
            </w:r>
            <w:r w:rsidRPr="00744A55">
              <w:rPr>
                <w:sz w:val="22"/>
                <w:lang w:val="en-US"/>
              </w:rPr>
              <w:t>W</w:t>
            </w:r>
            <w:proofErr w:type="spellStart"/>
            <w:r w:rsidRPr="00744A55">
              <w:rPr>
                <w:sz w:val="22"/>
              </w:rPr>
              <w:t>ord</w:t>
            </w:r>
            <w:proofErr w:type="spellEnd"/>
            <w:r w:rsidRPr="00744A55">
              <w:rPr>
                <w:sz w:val="22"/>
              </w:rPr>
              <w:t xml:space="preserve"> или </w:t>
            </w:r>
            <w:r w:rsidRPr="00744A55">
              <w:rPr>
                <w:sz w:val="22"/>
                <w:lang w:val="en-US"/>
              </w:rPr>
              <w:t>E</w:t>
            </w:r>
            <w:proofErr w:type="spellStart"/>
            <w:r w:rsidRPr="00744A55">
              <w:rPr>
                <w:sz w:val="22"/>
              </w:rPr>
              <w:t>xel</w:t>
            </w:r>
            <w:proofErr w:type="spellEnd"/>
            <w:r w:rsidRPr="00744A55">
              <w:rPr>
                <w:sz w:val="22"/>
              </w:rPr>
              <w:t xml:space="preserve"> + формат </w:t>
            </w:r>
            <w:r w:rsidRPr="00744A55">
              <w:rPr>
                <w:sz w:val="22"/>
                <w:lang w:val="en-US"/>
              </w:rPr>
              <w:t>PDF</w:t>
            </w:r>
            <w:r w:rsidRPr="00744A55">
              <w:rPr>
                <w:sz w:val="22"/>
              </w:rPr>
              <w:t>)</w:t>
            </w:r>
          </w:p>
        </w:tc>
      </w:tr>
      <w:tr w:rsidR="00CD6753" w:rsidRPr="00744A55" w:rsidTr="00CD6753">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утвержденная программа энергосбережения и повышения </w:t>
            </w:r>
            <w:proofErr w:type="spellStart"/>
            <w:r w:rsidRPr="00744A55">
              <w:rPr>
                <w:sz w:val="22"/>
              </w:rPr>
              <w:t>энергоэффективности</w:t>
            </w:r>
            <w:proofErr w:type="spellEnd"/>
            <w:r w:rsidRPr="00744A55">
              <w:rPr>
                <w:sz w:val="22"/>
              </w:rPr>
              <w:t xml:space="preserve"> по регулируемому виду деятельности (или проект программы) на расчетный период регулирования (формат документов </w:t>
            </w:r>
            <w:proofErr w:type="spellStart"/>
            <w:r w:rsidRPr="00744A55">
              <w:rPr>
                <w:sz w:val="22"/>
              </w:rPr>
              <w:t>Word</w:t>
            </w:r>
            <w:proofErr w:type="spellEnd"/>
            <w:r w:rsidRPr="00744A55">
              <w:rPr>
                <w:sz w:val="22"/>
              </w:rPr>
              <w:t xml:space="preserve"> или </w:t>
            </w:r>
            <w:proofErr w:type="spellStart"/>
            <w:r w:rsidRPr="00744A55">
              <w:rPr>
                <w:sz w:val="22"/>
              </w:rPr>
              <w:t>Exel</w:t>
            </w:r>
            <w:proofErr w:type="spellEnd"/>
            <w:r w:rsidRPr="00744A55">
              <w:rPr>
                <w:sz w:val="22"/>
              </w:rPr>
              <w:t xml:space="preserve"> + формат PDF)</w:t>
            </w:r>
          </w:p>
        </w:tc>
      </w:tr>
      <w:tr w:rsidR="00CD6753" w:rsidRPr="00744A55" w:rsidTr="00CD6753">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отчет о выполнении мероприятий программы энергосбережения и повышения </w:t>
            </w:r>
            <w:proofErr w:type="spellStart"/>
            <w:r w:rsidRPr="00744A55">
              <w:rPr>
                <w:sz w:val="22"/>
              </w:rPr>
              <w:t>энергоэффективности</w:t>
            </w:r>
            <w:proofErr w:type="spellEnd"/>
            <w:r w:rsidRPr="00744A55">
              <w:rPr>
                <w:sz w:val="22"/>
              </w:rPr>
              <w:t xml:space="preserve"> за предшествующий расчетный период регулирования (формат документов </w:t>
            </w:r>
            <w:proofErr w:type="spellStart"/>
            <w:r w:rsidRPr="00744A55">
              <w:rPr>
                <w:sz w:val="22"/>
              </w:rPr>
              <w:t>Word</w:t>
            </w:r>
            <w:proofErr w:type="spellEnd"/>
            <w:r w:rsidRPr="00744A55">
              <w:rPr>
                <w:sz w:val="22"/>
              </w:rPr>
              <w:t xml:space="preserve"> или </w:t>
            </w:r>
            <w:proofErr w:type="spellStart"/>
            <w:r w:rsidRPr="00744A55">
              <w:rPr>
                <w:sz w:val="22"/>
              </w:rPr>
              <w:t>Exel</w:t>
            </w:r>
            <w:proofErr w:type="spellEnd"/>
            <w:r w:rsidRPr="00744A55">
              <w:rPr>
                <w:sz w:val="22"/>
              </w:rPr>
              <w:t xml:space="preserve"> + формат PDF)</w:t>
            </w:r>
          </w:p>
        </w:tc>
      </w:tr>
      <w:tr w:rsidR="00CD6753" w:rsidRPr="00744A55" w:rsidTr="00CD6753">
        <w:trPr>
          <w:trHeight w:val="67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 расчет и расшифровка затрат по мероприятиям согласно программы энергосбережения и повышения </w:t>
            </w:r>
            <w:proofErr w:type="spellStart"/>
            <w:r w:rsidRPr="00744A55">
              <w:rPr>
                <w:sz w:val="22"/>
              </w:rPr>
              <w:t>энергоэффективности</w:t>
            </w:r>
            <w:proofErr w:type="spellEnd"/>
            <w:r w:rsidRPr="00744A55">
              <w:rPr>
                <w:sz w:val="22"/>
              </w:rPr>
              <w:t xml:space="preserve">  в разрезе структурных подразделений и в целом по предприятию по регулируемому виду деятельности  на расчетный период регулирования (формат документов </w:t>
            </w:r>
            <w:proofErr w:type="spellStart"/>
            <w:r w:rsidRPr="00744A55">
              <w:rPr>
                <w:sz w:val="22"/>
              </w:rPr>
              <w:t>Word</w:t>
            </w:r>
            <w:proofErr w:type="spellEnd"/>
            <w:r w:rsidRPr="00744A55">
              <w:rPr>
                <w:sz w:val="22"/>
              </w:rPr>
              <w:t xml:space="preserve"> или </w:t>
            </w:r>
            <w:proofErr w:type="spellStart"/>
            <w:r w:rsidRPr="00744A55">
              <w:rPr>
                <w:sz w:val="22"/>
              </w:rPr>
              <w:t>Exel</w:t>
            </w:r>
            <w:proofErr w:type="spellEnd"/>
            <w:r w:rsidRPr="00744A55">
              <w:rPr>
                <w:sz w:val="22"/>
              </w:rPr>
              <w:t xml:space="preserve"> + формат PDF)</w:t>
            </w:r>
          </w:p>
        </w:tc>
      </w:tr>
      <w:tr w:rsidR="00CD6753" w:rsidRPr="00744A55" w:rsidTr="00CD6753">
        <w:trPr>
          <w:trHeight w:val="55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12 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b/>
                <w:bCs/>
                <w:i/>
                <w:iCs/>
                <w:sz w:val="22"/>
              </w:rPr>
            </w:pPr>
            <w:r w:rsidRPr="00744A55">
              <w:rPr>
                <w:b/>
                <w:bCs/>
                <w:i/>
                <w:iCs/>
                <w:sz w:val="22"/>
              </w:rPr>
              <w:t>обоснование к расчету расходов на уплату налогов и сборов:</w:t>
            </w:r>
          </w:p>
        </w:tc>
      </w:tr>
      <w:tr w:rsidR="00CD6753" w:rsidRPr="00744A55" w:rsidTr="00CD6753">
        <w:trPr>
          <w:trHeight w:val="55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jc w:val="center"/>
              <w:rPr>
                <w:sz w:val="22"/>
              </w:rPr>
            </w:pPr>
          </w:p>
        </w:tc>
        <w:tc>
          <w:tcPr>
            <w:tcW w:w="9934" w:type="dxa"/>
            <w:tcBorders>
              <w:top w:val="single" w:sz="4" w:space="0" w:color="auto"/>
              <w:left w:val="nil"/>
              <w:bottom w:val="single" w:sz="4" w:space="0" w:color="auto"/>
              <w:right w:val="single" w:sz="4" w:space="0" w:color="auto"/>
            </w:tcBorders>
            <w:shd w:val="clear" w:color="auto" w:fill="auto"/>
            <w:vAlign w:val="center"/>
          </w:tcPr>
          <w:p w:rsidR="00CD6753" w:rsidRPr="00744A55" w:rsidRDefault="00CD6753" w:rsidP="00CD6753">
            <w:pPr>
              <w:rPr>
                <w:sz w:val="22"/>
              </w:rPr>
            </w:pPr>
            <w:r w:rsidRPr="00744A55">
              <w:rPr>
                <w:sz w:val="22"/>
              </w:rPr>
              <w:t xml:space="preserve"> расчет земельного налога в целом по предприятию и в разрезе структурных подразделений  по регулируемому виду деятельности на расчетный период регулирования</w:t>
            </w:r>
          </w:p>
        </w:tc>
      </w:tr>
      <w:tr w:rsidR="00CD6753" w:rsidRPr="00744A55" w:rsidTr="00CD6753">
        <w:trPr>
          <w:trHeight w:val="9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 расчет налога на имущество в целом по предприятию и в разрезе структурных подразделений по регулируемому виду деятельности  на расчетный период регулирования</w:t>
            </w:r>
          </w:p>
        </w:tc>
      </w:tr>
      <w:tr w:rsidR="00CD6753" w:rsidRPr="00744A55" w:rsidTr="00CD6753">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 расчет транспортного налога на расчетный период регулирования</w:t>
            </w:r>
          </w:p>
        </w:tc>
      </w:tr>
      <w:tr w:rsidR="00CD6753" w:rsidRPr="00744A55" w:rsidTr="00CD6753">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 сводная таблица расчета платежей за загрязнение окружающей среды в целом по предприятию и в разрезе структурных подразделений по регулируемому виду деятельности за предшествующий  период регулирования и на расчетный период регулирования</w:t>
            </w:r>
          </w:p>
        </w:tc>
      </w:tr>
      <w:tr w:rsidR="00CD6753" w:rsidRPr="00744A55" w:rsidTr="00CD6753">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 расчет прибыли, обязательных налогов и платежей:</w:t>
            </w:r>
          </w:p>
        </w:tc>
      </w:tr>
      <w:tr w:rsidR="00CD6753" w:rsidRPr="00744A55" w:rsidTr="00CD6753">
        <w:trPr>
          <w:trHeight w:val="9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proofErr w:type="gramStart"/>
            <w:r w:rsidRPr="00744A55">
              <w:rPr>
                <w:sz w:val="22"/>
              </w:rPr>
              <w:t>расчет необходимой прибыли на социальное развитие и поощрение на расчетный период регулирования, включая программу социального развития, расшифровку и расчет расходов на социальное развитие (с указанием пункта Отраслевого тарифного соглашения, коллективного договора, прочих локальных документов) за предыдущий и на предстоящий периоды регулирования</w:t>
            </w:r>
            <w:proofErr w:type="gramEnd"/>
          </w:p>
        </w:tc>
      </w:tr>
      <w:tr w:rsidR="00CD6753" w:rsidRPr="00744A55" w:rsidTr="00CD6753">
        <w:trPr>
          <w:trHeight w:val="28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расчеты налогов и платежей, уплачиваемых за счет прибыли организации</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13</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b/>
                <w:bCs/>
                <w:i/>
                <w:iCs/>
                <w:sz w:val="22"/>
              </w:rPr>
            </w:pPr>
            <w:r w:rsidRPr="00744A55">
              <w:rPr>
                <w:b/>
                <w:bCs/>
                <w:i/>
                <w:iCs/>
                <w:sz w:val="22"/>
              </w:rPr>
              <w:t>обоснование к расчету расходов на обслуживание заемных средств и обоснованию прибыли:</w:t>
            </w:r>
          </w:p>
        </w:tc>
      </w:tr>
      <w:tr w:rsidR="00CD6753" w:rsidRPr="00744A55" w:rsidTr="00CD675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jc w:val="center"/>
              <w:rPr>
                <w:sz w:val="22"/>
              </w:rPr>
            </w:pPr>
          </w:p>
        </w:tc>
        <w:tc>
          <w:tcPr>
            <w:tcW w:w="9934" w:type="dxa"/>
            <w:tcBorders>
              <w:top w:val="nil"/>
              <w:left w:val="nil"/>
              <w:bottom w:val="single" w:sz="4" w:space="0" w:color="auto"/>
              <w:right w:val="single" w:sz="4" w:space="0" w:color="auto"/>
            </w:tcBorders>
            <w:shd w:val="clear" w:color="auto" w:fill="auto"/>
            <w:vAlign w:val="center"/>
          </w:tcPr>
          <w:p w:rsidR="00CD6753" w:rsidRPr="00744A55" w:rsidRDefault="00CD6753" w:rsidP="00CD6753">
            <w:pPr>
              <w:rPr>
                <w:sz w:val="22"/>
              </w:rPr>
            </w:pPr>
            <w:r w:rsidRPr="00744A55">
              <w:rPr>
                <w:sz w:val="22"/>
              </w:rPr>
              <w:t>расчет процентов за кредиты на расчетный период регулирования по регулируемому виду деятельности</w:t>
            </w:r>
          </w:p>
        </w:tc>
      </w:tr>
      <w:tr w:rsidR="00CD6753" w:rsidRPr="00744A55" w:rsidTr="00CD6753">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 справка о начислении процентов, относящихся на прочие расходы, по кредитам предприятия, относящимся к регулируемому виду деятельности, в разрезе банков - кредиторов,  за предшествующий расчетный период регулирования</w:t>
            </w:r>
          </w:p>
        </w:tc>
      </w:tr>
      <w:tr w:rsidR="00CD6753" w:rsidRPr="00744A55" w:rsidTr="00CD6753">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 копии кредитных договоров с приложением копий дополнительных соглашений  по регулируемому виду деятельности  за предшествующий расчетный период регулирования</w:t>
            </w:r>
          </w:p>
        </w:tc>
      </w:tr>
      <w:tr w:rsidR="00CD6753" w:rsidRPr="00744A55" w:rsidTr="00CD6753">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 расшифровка расходов,  из прибыли на прочие цели по регулируемому виду деятельности на расчетный период регулирования с приложением обосновывающих материалов</w:t>
            </w:r>
          </w:p>
        </w:tc>
      </w:tr>
      <w:tr w:rsidR="00CD6753" w:rsidRPr="00744A55" w:rsidTr="00CD6753">
        <w:trPr>
          <w:trHeight w:val="523"/>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14 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b/>
                <w:bCs/>
                <w:i/>
                <w:iCs/>
                <w:sz w:val="22"/>
              </w:rPr>
            </w:pPr>
            <w:r w:rsidRPr="00744A55">
              <w:rPr>
                <w:b/>
                <w:bCs/>
                <w:i/>
                <w:iCs/>
                <w:sz w:val="22"/>
              </w:rPr>
              <w:t>обоснование технико-экономических показателей в сфере электроснабжения:</w:t>
            </w:r>
          </w:p>
        </w:tc>
      </w:tr>
      <w:tr w:rsidR="00CD6753" w:rsidRPr="00744A55" w:rsidTr="00CD6753">
        <w:trPr>
          <w:trHeight w:val="765"/>
        </w:trPr>
        <w:tc>
          <w:tcPr>
            <w:tcW w:w="840" w:type="dxa"/>
            <w:tcBorders>
              <w:top w:val="nil"/>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jc w:val="center"/>
              <w:rPr>
                <w:sz w:val="22"/>
              </w:rPr>
            </w:pPr>
          </w:p>
        </w:tc>
        <w:tc>
          <w:tcPr>
            <w:tcW w:w="9934" w:type="dxa"/>
            <w:tcBorders>
              <w:top w:val="nil"/>
              <w:left w:val="nil"/>
              <w:bottom w:val="single" w:sz="4" w:space="0" w:color="auto"/>
              <w:right w:val="single" w:sz="4" w:space="0" w:color="auto"/>
            </w:tcBorders>
            <w:shd w:val="clear" w:color="auto" w:fill="auto"/>
            <w:vAlign w:val="center"/>
          </w:tcPr>
          <w:p w:rsidR="00CD6753" w:rsidRPr="00744A55" w:rsidRDefault="00CD6753" w:rsidP="00CD6753">
            <w:pPr>
              <w:rPr>
                <w:sz w:val="22"/>
              </w:rPr>
            </w:pPr>
            <w:r w:rsidRPr="00744A55">
              <w:rPr>
                <w:sz w:val="22"/>
              </w:rPr>
              <w:t>аналитическая записка к расчету расходов, связанных с передачей электрической энергии, на предстоящий период регулирования с пояснениями изменений по каждой статье относительно предшествующих периодов регулирования (2014, 2015 гг.)</w:t>
            </w:r>
          </w:p>
        </w:tc>
      </w:tr>
      <w:tr w:rsidR="00CD6753" w:rsidRPr="00744A55" w:rsidTr="00CD6753">
        <w:trPr>
          <w:trHeight w:val="58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nil"/>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помесячные объемы сальдо-</w:t>
            </w:r>
            <w:proofErr w:type="spellStart"/>
            <w:r w:rsidRPr="00744A55">
              <w:rPr>
                <w:sz w:val="22"/>
              </w:rPr>
              <w:t>перетоков</w:t>
            </w:r>
            <w:proofErr w:type="spellEnd"/>
            <w:r w:rsidRPr="00744A55">
              <w:rPr>
                <w:sz w:val="22"/>
              </w:rPr>
              <w:t xml:space="preserve"> электрической энергии и заявленной мощности, согласованные со смежной сетевой организацией на предстоящий период регулирования;</w:t>
            </w:r>
          </w:p>
        </w:tc>
      </w:tr>
      <w:tr w:rsidR="00CD6753" w:rsidRPr="00744A55" w:rsidTr="00CD6753">
        <w:trPr>
          <w:trHeight w:val="765"/>
        </w:trPr>
        <w:tc>
          <w:tcPr>
            <w:tcW w:w="840" w:type="dxa"/>
            <w:tcBorders>
              <w:top w:val="nil"/>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jc w:val="center"/>
              <w:rPr>
                <w:sz w:val="22"/>
              </w:rPr>
            </w:pPr>
          </w:p>
        </w:tc>
        <w:tc>
          <w:tcPr>
            <w:tcW w:w="9934" w:type="dxa"/>
            <w:tcBorders>
              <w:top w:val="nil"/>
              <w:left w:val="nil"/>
              <w:bottom w:val="single" w:sz="4" w:space="0" w:color="auto"/>
              <w:right w:val="single" w:sz="4" w:space="0" w:color="auto"/>
            </w:tcBorders>
            <w:shd w:val="clear" w:color="auto" w:fill="auto"/>
            <w:vAlign w:val="center"/>
          </w:tcPr>
          <w:p w:rsidR="00CD6753" w:rsidRPr="00744A55" w:rsidRDefault="00CD6753" w:rsidP="00CD6753">
            <w:pPr>
              <w:autoSpaceDE w:val="0"/>
              <w:autoSpaceDN w:val="0"/>
              <w:adjustRightInd w:val="0"/>
              <w:ind w:right="-13"/>
              <w:jc w:val="both"/>
              <w:rPr>
                <w:sz w:val="22"/>
              </w:rPr>
            </w:pPr>
            <w:r w:rsidRPr="00744A55">
              <w:rPr>
                <w:sz w:val="22"/>
              </w:rPr>
              <w:t>однолинейные электрические схемы с указанием границ балансовой принадлежности со смежной сетевой организацией (</w:t>
            </w:r>
            <w:proofErr w:type="spellStart"/>
            <w:r w:rsidRPr="00744A55">
              <w:rPr>
                <w:sz w:val="22"/>
              </w:rPr>
              <w:t>котлодержателем</w:t>
            </w:r>
            <w:proofErr w:type="spellEnd"/>
            <w:r w:rsidRPr="00744A55">
              <w:rPr>
                <w:sz w:val="22"/>
              </w:rPr>
              <w:t>) и потребителями, подключенными к сетям предприятия (акты разграничения балансовой принадлежности и эксплуатационной ответственности) (по новым объектам);</w:t>
            </w:r>
          </w:p>
        </w:tc>
      </w:tr>
      <w:tr w:rsidR="00CD6753" w:rsidRPr="00744A55" w:rsidTr="00CD6753">
        <w:trPr>
          <w:trHeight w:val="765"/>
        </w:trPr>
        <w:tc>
          <w:tcPr>
            <w:tcW w:w="840" w:type="dxa"/>
            <w:tcBorders>
              <w:top w:val="nil"/>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jc w:val="center"/>
              <w:rPr>
                <w:sz w:val="22"/>
              </w:rPr>
            </w:pPr>
          </w:p>
        </w:tc>
        <w:tc>
          <w:tcPr>
            <w:tcW w:w="9934" w:type="dxa"/>
            <w:tcBorders>
              <w:top w:val="nil"/>
              <w:left w:val="nil"/>
              <w:bottom w:val="single" w:sz="4" w:space="0" w:color="auto"/>
              <w:right w:val="single" w:sz="4" w:space="0" w:color="auto"/>
            </w:tcBorders>
            <w:shd w:val="clear" w:color="auto" w:fill="auto"/>
            <w:vAlign w:val="center"/>
          </w:tcPr>
          <w:p w:rsidR="00CD6753" w:rsidRPr="00744A55" w:rsidRDefault="00CD6753" w:rsidP="00CD6753">
            <w:pPr>
              <w:shd w:val="clear" w:color="auto" w:fill="FFFFFF"/>
              <w:spacing w:line="320" w:lineRule="exact"/>
              <w:ind w:right="25"/>
              <w:jc w:val="both"/>
              <w:rPr>
                <w:sz w:val="22"/>
              </w:rPr>
            </w:pPr>
            <w:r w:rsidRPr="00744A55">
              <w:rPr>
                <w:spacing w:val="-2"/>
                <w:sz w:val="22"/>
              </w:rPr>
              <w:t xml:space="preserve">баланс электрической энергии и мощности на предстоящий период регулирования и за </w:t>
            </w:r>
            <w:r w:rsidRPr="00744A55">
              <w:rPr>
                <w:sz w:val="22"/>
              </w:rPr>
              <w:t xml:space="preserve">предшествующий период регулирования </w:t>
            </w:r>
            <w:r w:rsidRPr="00744A55">
              <w:rPr>
                <w:spacing w:val="-2"/>
                <w:sz w:val="22"/>
              </w:rPr>
              <w:t>по формам П</w:t>
            </w:r>
            <w:proofErr w:type="gramStart"/>
            <w:r w:rsidRPr="00744A55">
              <w:rPr>
                <w:spacing w:val="-2"/>
                <w:sz w:val="22"/>
              </w:rPr>
              <w:t>1</w:t>
            </w:r>
            <w:proofErr w:type="gramEnd"/>
            <w:r w:rsidRPr="00744A55">
              <w:rPr>
                <w:spacing w:val="-2"/>
                <w:sz w:val="22"/>
              </w:rPr>
              <w:t>.3, П1.4, П1.5, П1.6, П1.30 Методических указаний (приказ ФСТ от 06.08.2004 г. № 20-э/2).</w:t>
            </w:r>
          </w:p>
        </w:tc>
      </w:tr>
      <w:tr w:rsidR="00CD6753" w:rsidRPr="00744A55" w:rsidTr="00CD6753">
        <w:trPr>
          <w:trHeight w:val="55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53" w:rsidRPr="00744A55" w:rsidRDefault="00CD6753" w:rsidP="00CD6753">
            <w:pPr>
              <w:jc w:val="center"/>
              <w:rPr>
                <w:sz w:val="22"/>
              </w:rPr>
            </w:pPr>
            <w:r w:rsidRPr="00744A55">
              <w:rPr>
                <w:sz w:val="22"/>
              </w:rPr>
              <w:t> </w:t>
            </w:r>
          </w:p>
        </w:tc>
        <w:tc>
          <w:tcPr>
            <w:tcW w:w="9934" w:type="dxa"/>
            <w:tcBorders>
              <w:top w:val="single" w:sz="4" w:space="0" w:color="auto"/>
              <w:left w:val="nil"/>
              <w:bottom w:val="single" w:sz="4" w:space="0" w:color="auto"/>
              <w:right w:val="single" w:sz="4" w:space="0" w:color="auto"/>
            </w:tcBorders>
            <w:shd w:val="clear" w:color="auto" w:fill="auto"/>
            <w:vAlign w:val="center"/>
            <w:hideMark/>
          </w:tcPr>
          <w:p w:rsidR="00CD6753" w:rsidRPr="00744A55" w:rsidRDefault="00CD6753" w:rsidP="00CD6753">
            <w:pPr>
              <w:rPr>
                <w:sz w:val="22"/>
              </w:rPr>
            </w:pPr>
            <w:r w:rsidRPr="00744A55">
              <w:rPr>
                <w:sz w:val="22"/>
              </w:rPr>
              <w:t xml:space="preserve">расчет нормативов потерь при передаче электрической энергии с приложением обосновывающих документов </w:t>
            </w:r>
          </w:p>
        </w:tc>
      </w:tr>
      <w:tr w:rsidR="00CD6753" w:rsidRPr="00744A55" w:rsidTr="00CD6753">
        <w:trPr>
          <w:trHeight w:val="493"/>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jc w:val="center"/>
              <w:rPr>
                <w:sz w:val="22"/>
              </w:rPr>
            </w:pPr>
          </w:p>
        </w:tc>
        <w:tc>
          <w:tcPr>
            <w:tcW w:w="9934" w:type="dxa"/>
            <w:tcBorders>
              <w:top w:val="single" w:sz="4" w:space="0" w:color="auto"/>
              <w:left w:val="nil"/>
              <w:bottom w:val="single" w:sz="4" w:space="0" w:color="auto"/>
              <w:right w:val="single" w:sz="4" w:space="0" w:color="auto"/>
            </w:tcBorders>
            <w:shd w:val="clear" w:color="auto" w:fill="auto"/>
            <w:vAlign w:val="center"/>
          </w:tcPr>
          <w:p w:rsidR="00CD6753" w:rsidRPr="00744A55" w:rsidRDefault="00CD6753" w:rsidP="00CD6753">
            <w:pPr>
              <w:rPr>
                <w:sz w:val="22"/>
              </w:rPr>
            </w:pPr>
            <w:r w:rsidRPr="00744A55">
              <w:rPr>
                <w:sz w:val="22"/>
              </w:rPr>
              <w:t>копии счетов-фактур, актов об оказании услуг по передаче электрической энергии (мощности)  и их реестр за предшествующий период регулирования, с отражением количества, цены и суммы (доходы регулируемой организации)</w:t>
            </w:r>
          </w:p>
        </w:tc>
      </w:tr>
      <w:tr w:rsidR="00CD6753" w:rsidRPr="00744A55" w:rsidTr="00CD6753">
        <w:trPr>
          <w:trHeight w:val="493"/>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jc w:val="center"/>
              <w:rPr>
                <w:sz w:val="22"/>
              </w:rPr>
            </w:pPr>
          </w:p>
        </w:tc>
        <w:tc>
          <w:tcPr>
            <w:tcW w:w="9934" w:type="dxa"/>
            <w:tcBorders>
              <w:top w:val="single" w:sz="4" w:space="0" w:color="auto"/>
              <w:left w:val="nil"/>
              <w:bottom w:val="single" w:sz="4" w:space="0" w:color="auto"/>
              <w:right w:val="single" w:sz="4" w:space="0" w:color="auto"/>
            </w:tcBorders>
            <w:shd w:val="clear" w:color="auto" w:fill="auto"/>
            <w:vAlign w:val="center"/>
          </w:tcPr>
          <w:p w:rsidR="00CD6753" w:rsidRPr="00744A55" w:rsidRDefault="00CD6753" w:rsidP="00CD6753">
            <w:pPr>
              <w:rPr>
                <w:sz w:val="22"/>
              </w:rPr>
            </w:pPr>
            <w:r w:rsidRPr="00744A55">
              <w:rPr>
                <w:sz w:val="22"/>
              </w:rPr>
              <w:t>копии счетов-фактур и их реестр за предшествующий период регулирования на оплату услуг по передаче электрической энергии со смежными сетевыми организациями (ТСО) (расходы регулируемой организации)</w:t>
            </w:r>
          </w:p>
        </w:tc>
      </w:tr>
      <w:tr w:rsidR="00CD6753" w:rsidRPr="00744A55" w:rsidTr="00CD6753">
        <w:trPr>
          <w:trHeight w:val="493"/>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753" w:rsidRPr="00744A55" w:rsidRDefault="00CD6753" w:rsidP="00CD6753">
            <w:pPr>
              <w:jc w:val="center"/>
              <w:rPr>
                <w:sz w:val="22"/>
              </w:rPr>
            </w:pPr>
          </w:p>
        </w:tc>
        <w:tc>
          <w:tcPr>
            <w:tcW w:w="9934" w:type="dxa"/>
            <w:tcBorders>
              <w:top w:val="single" w:sz="4" w:space="0" w:color="auto"/>
              <w:left w:val="nil"/>
              <w:bottom w:val="single" w:sz="4" w:space="0" w:color="auto"/>
              <w:right w:val="single" w:sz="4" w:space="0" w:color="auto"/>
            </w:tcBorders>
            <w:shd w:val="clear" w:color="auto" w:fill="auto"/>
            <w:vAlign w:val="center"/>
          </w:tcPr>
          <w:p w:rsidR="00CD6753" w:rsidRPr="00744A55" w:rsidRDefault="00CD6753" w:rsidP="00CD6753">
            <w:pPr>
              <w:ind w:right="-13"/>
              <w:jc w:val="both"/>
              <w:rPr>
                <w:sz w:val="22"/>
              </w:rPr>
            </w:pPr>
            <w:r w:rsidRPr="00744A55">
              <w:rPr>
                <w:sz w:val="22"/>
              </w:rPr>
              <w:t>сводный помесячный реестр счетов-фактур за предшествующий период регулирования на покупку потерь с отражением количества, цены и суммы и документы, подтверждающие затраты и объемы на компенсацию технологических потерь электрической энергии;</w:t>
            </w:r>
          </w:p>
        </w:tc>
      </w:tr>
      <w:tr w:rsidR="00CD6753" w:rsidRPr="00744A55" w:rsidTr="00CD6753">
        <w:trPr>
          <w:trHeight w:val="87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6753" w:rsidRPr="00744A55" w:rsidRDefault="00CD6753" w:rsidP="00CD6753">
            <w:pPr>
              <w:jc w:val="center"/>
              <w:rPr>
                <w:sz w:val="22"/>
              </w:rPr>
            </w:pPr>
          </w:p>
        </w:tc>
        <w:tc>
          <w:tcPr>
            <w:tcW w:w="9934" w:type="dxa"/>
            <w:tcBorders>
              <w:top w:val="single" w:sz="4" w:space="0" w:color="auto"/>
              <w:left w:val="nil"/>
              <w:bottom w:val="single" w:sz="4" w:space="0" w:color="auto"/>
              <w:right w:val="single" w:sz="4" w:space="0" w:color="auto"/>
            </w:tcBorders>
            <w:shd w:val="clear" w:color="000000" w:fill="FFFFFF"/>
            <w:vAlign w:val="center"/>
            <w:hideMark/>
          </w:tcPr>
          <w:p w:rsidR="00CD6753" w:rsidRPr="00744A55" w:rsidRDefault="00CD6753" w:rsidP="00CD6753">
            <w:pPr>
              <w:jc w:val="both"/>
              <w:rPr>
                <w:bCs/>
                <w:iCs/>
                <w:sz w:val="22"/>
              </w:rPr>
            </w:pPr>
            <w:r w:rsidRPr="00744A55">
              <w:rPr>
                <w:bCs/>
                <w:iCs/>
                <w:sz w:val="22"/>
              </w:rPr>
              <w:t>расчеты в соответствии с «</w:t>
            </w:r>
            <w:proofErr w:type="gramStart"/>
            <w:r w:rsidRPr="00744A55">
              <w:rPr>
                <w:bCs/>
                <w:iCs/>
                <w:sz w:val="22"/>
              </w:rPr>
              <w:t>Методическими</w:t>
            </w:r>
            <w:proofErr w:type="gramEnd"/>
            <w:r w:rsidRPr="00744A55">
              <w:rPr>
                <w:bCs/>
                <w:iCs/>
                <w:sz w:val="22"/>
              </w:rPr>
              <w:t xml:space="preserve">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утвержденным приказом  ФСТ России т 17.02.2012 № 98-э</w:t>
            </w:r>
          </w:p>
        </w:tc>
      </w:tr>
      <w:tr w:rsidR="00CD6753" w:rsidRPr="00744A55" w:rsidTr="00CD6753">
        <w:trPr>
          <w:trHeight w:val="87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6753" w:rsidRPr="00744A55" w:rsidRDefault="00CD6753" w:rsidP="00CD6753">
            <w:pPr>
              <w:jc w:val="center"/>
              <w:rPr>
                <w:sz w:val="22"/>
              </w:rPr>
            </w:pPr>
          </w:p>
        </w:tc>
        <w:tc>
          <w:tcPr>
            <w:tcW w:w="9934" w:type="dxa"/>
            <w:tcBorders>
              <w:top w:val="single" w:sz="4" w:space="0" w:color="auto"/>
              <w:left w:val="nil"/>
              <w:bottom w:val="single" w:sz="4" w:space="0" w:color="auto"/>
              <w:right w:val="single" w:sz="4" w:space="0" w:color="auto"/>
            </w:tcBorders>
            <w:shd w:val="clear" w:color="000000" w:fill="FFFFFF"/>
            <w:vAlign w:val="center"/>
          </w:tcPr>
          <w:p w:rsidR="00CD6753" w:rsidRPr="00744A55" w:rsidRDefault="00CD6753" w:rsidP="00CD6753">
            <w:pPr>
              <w:jc w:val="both"/>
              <w:rPr>
                <w:sz w:val="22"/>
              </w:rPr>
            </w:pPr>
            <w:r w:rsidRPr="00744A55">
              <w:rPr>
                <w:sz w:val="22"/>
              </w:rPr>
              <w:t>Расчеты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 приказом  ФСТ России от 06.08.2004 № 20-э/2</w:t>
            </w:r>
          </w:p>
        </w:tc>
      </w:tr>
      <w:tr w:rsidR="00CD6753" w:rsidRPr="00744A55" w:rsidTr="00CD6753">
        <w:trPr>
          <w:trHeight w:val="870"/>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6753" w:rsidRPr="00744A55" w:rsidRDefault="00CD6753" w:rsidP="00CD6753">
            <w:pPr>
              <w:jc w:val="both"/>
              <w:rPr>
                <w:sz w:val="22"/>
              </w:rPr>
            </w:pPr>
          </w:p>
        </w:tc>
        <w:tc>
          <w:tcPr>
            <w:tcW w:w="9934" w:type="dxa"/>
            <w:tcBorders>
              <w:top w:val="single" w:sz="4" w:space="0" w:color="auto"/>
              <w:left w:val="nil"/>
              <w:bottom w:val="single" w:sz="4" w:space="0" w:color="auto"/>
              <w:right w:val="single" w:sz="4" w:space="0" w:color="auto"/>
            </w:tcBorders>
            <w:shd w:val="clear" w:color="000000" w:fill="FFFFFF"/>
            <w:vAlign w:val="center"/>
          </w:tcPr>
          <w:p w:rsidR="00CD6753" w:rsidRPr="00744A55" w:rsidRDefault="00CD6753" w:rsidP="00CD6753">
            <w:pPr>
              <w:jc w:val="both"/>
              <w:rPr>
                <w:sz w:val="22"/>
              </w:rPr>
            </w:pPr>
            <w:r w:rsidRPr="00744A55">
              <w:rPr>
                <w:sz w:val="22"/>
              </w:rPr>
              <w:t xml:space="preserve">предложения территориальных сетевых организаций по передаче электрической энергии и мощности на 2016 год, в формате шаблонов ЕИАС (ENERGY.KTL.NET.PLAN.6.70 и ENERGY.KTL.LT.CALC.NVV.NET.6.70 формат документов </w:t>
            </w:r>
            <w:proofErr w:type="spellStart"/>
            <w:r w:rsidRPr="00744A55">
              <w:rPr>
                <w:sz w:val="22"/>
              </w:rPr>
              <w:t>Ex</w:t>
            </w:r>
            <w:proofErr w:type="gramStart"/>
            <w:r w:rsidRPr="00744A55">
              <w:rPr>
                <w:sz w:val="22"/>
              </w:rPr>
              <w:t>с</w:t>
            </w:r>
            <w:proofErr w:type="gramEnd"/>
            <w:r w:rsidRPr="00744A55">
              <w:rPr>
                <w:sz w:val="22"/>
              </w:rPr>
              <w:t>el</w:t>
            </w:r>
            <w:proofErr w:type="spellEnd"/>
            <w:r w:rsidRPr="00744A55">
              <w:rPr>
                <w:sz w:val="22"/>
              </w:rPr>
              <w:t>)</w:t>
            </w:r>
          </w:p>
        </w:tc>
      </w:tr>
    </w:tbl>
    <w:p w:rsidR="00CD6753" w:rsidRPr="00113511" w:rsidRDefault="00CD6753" w:rsidP="00113511">
      <w:pPr>
        <w:rPr>
          <w:color w:val="000000"/>
          <w:spacing w:val="-2"/>
          <w:sz w:val="22"/>
          <w:lang w:val="en-US"/>
        </w:rPr>
      </w:pPr>
      <w:bookmarkStart w:id="0" w:name="_GoBack"/>
      <w:bookmarkEnd w:id="0"/>
    </w:p>
    <w:sectPr w:rsidR="00CD6753" w:rsidRPr="00113511" w:rsidSect="00744A55">
      <w:headerReference w:type="even" r:id="rId9"/>
      <w:footerReference w:type="default" r:id="rId10"/>
      <w:footerReference w:type="first" r:id="rId11"/>
      <w:pgSz w:w="11906" w:h="16838" w:code="9"/>
      <w:pgMar w:top="426" w:right="851" w:bottom="426" w:left="1418" w:header="539" w:footer="12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F56" w:rsidRDefault="00A74F56">
      <w:r>
        <w:separator/>
      </w:r>
    </w:p>
  </w:endnote>
  <w:endnote w:type="continuationSeparator" w:id="0">
    <w:p w:rsidR="00A74F56" w:rsidRDefault="00A7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876833"/>
      <w:docPartObj>
        <w:docPartGallery w:val="Page Numbers (Bottom of Page)"/>
        <w:docPartUnique/>
      </w:docPartObj>
    </w:sdtPr>
    <w:sdtEndPr/>
    <w:sdtContent>
      <w:p w:rsidR="00F0642C" w:rsidRDefault="00F0642C">
        <w:pPr>
          <w:pStyle w:val="a4"/>
          <w:jc w:val="right"/>
        </w:pPr>
        <w:r>
          <w:fldChar w:fldCharType="begin"/>
        </w:r>
        <w:r>
          <w:instrText>PAGE   \* MERGEFORMAT</w:instrText>
        </w:r>
        <w:r>
          <w:fldChar w:fldCharType="separate"/>
        </w:r>
        <w:r w:rsidR="00113511">
          <w:rPr>
            <w:noProof/>
          </w:rPr>
          <w:t>2</w:t>
        </w:r>
        <w:r>
          <w:fldChar w:fldCharType="end"/>
        </w:r>
      </w:p>
    </w:sdtContent>
  </w:sdt>
  <w:p w:rsidR="00F0642C" w:rsidRDefault="00F0642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49639"/>
      <w:docPartObj>
        <w:docPartGallery w:val="Page Numbers (Bottom of Page)"/>
        <w:docPartUnique/>
      </w:docPartObj>
    </w:sdtPr>
    <w:sdtEndPr/>
    <w:sdtContent>
      <w:p w:rsidR="00F0642C" w:rsidRDefault="00F0642C">
        <w:pPr>
          <w:pStyle w:val="a4"/>
          <w:jc w:val="right"/>
        </w:pPr>
        <w:r>
          <w:fldChar w:fldCharType="begin"/>
        </w:r>
        <w:r>
          <w:instrText>PAGE   \* MERGEFORMAT</w:instrText>
        </w:r>
        <w:r>
          <w:fldChar w:fldCharType="separate"/>
        </w:r>
        <w:r w:rsidR="00113511">
          <w:rPr>
            <w:noProof/>
          </w:rPr>
          <w:t>1</w:t>
        </w:r>
        <w:r>
          <w:fldChar w:fldCharType="end"/>
        </w:r>
      </w:p>
    </w:sdtContent>
  </w:sdt>
  <w:p w:rsidR="00F0642C" w:rsidRDefault="00F064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F56" w:rsidRDefault="00A74F56">
      <w:r>
        <w:separator/>
      </w:r>
    </w:p>
  </w:footnote>
  <w:footnote w:type="continuationSeparator" w:id="0">
    <w:p w:rsidR="00A74F56" w:rsidRDefault="00A74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2C" w:rsidRDefault="00F0642C">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0642C" w:rsidRDefault="00F064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5A41"/>
    <w:multiLevelType w:val="hybridMultilevel"/>
    <w:tmpl w:val="540CBB46"/>
    <w:lvl w:ilvl="0" w:tplc="0419000F">
      <w:start w:val="1"/>
      <w:numFmt w:val="decimal"/>
      <w:lvlText w:val="%1."/>
      <w:lvlJc w:val="left"/>
      <w:pPr>
        <w:tabs>
          <w:tab w:val="num" w:pos="900"/>
        </w:tabs>
        <w:ind w:left="900" w:hanging="360"/>
      </w:pPr>
      <w:rPr>
        <w:rFonts w:cs="Times New Roman"/>
      </w:rPr>
    </w:lvl>
    <w:lvl w:ilvl="1" w:tplc="B6E4FF6C">
      <w:start w:val="1"/>
      <w:numFmt w:val="bullet"/>
      <w:lvlText w:val=""/>
      <w:lvlJc w:val="left"/>
      <w:pPr>
        <w:tabs>
          <w:tab w:val="num" w:pos="1779"/>
        </w:tabs>
        <w:ind w:left="1779" w:hanging="360"/>
      </w:pPr>
      <w:rPr>
        <w:rFonts w:ascii="Symbol" w:hAnsi="Symbol"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239E1F78"/>
    <w:multiLevelType w:val="hybridMultilevel"/>
    <w:tmpl w:val="F31294DA"/>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26D74943"/>
    <w:multiLevelType w:val="hybridMultilevel"/>
    <w:tmpl w:val="6BC4A726"/>
    <w:lvl w:ilvl="0" w:tplc="B2141CA2">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06263B0"/>
    <w:multiLevelType w:val="hybridMultilevel"/>
    <w:tmpl w:val="15A23686"/>
    <w:lvl w:ilvl="0" w:tplc="42BEE544">
      <w:start w:val="5"/>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2636218"/>
    <w:multiLevelType w:val="hybridMultilevel"/>
    <w:tmpl w:val="004CAC0C"/>
    <w:lvl w:ilvl="0" w:tplc="B2141CA2">
      <w:start w:val="1"/>
      <w:numFmt w:val="bullet"/>
      <w:lvlText w:val="-"/>
      <w:lvlJc w:val="left"/>
      <w:pPr>
        <w:tabs>
          <w:tab w:val="num" w:pos="1211"/>
        </w:tabs>
        <w:ind w:left="1211" w:hanging="360"/>
      </w:pPr>
      <w:rPr>
        <w:rFonts w:ascii="Courier New" w:hAnsi="Courier New" w:hint="default"/>
      </w:rPr>
    </w:lvl>
    <w:lvl w:ilvl="1" w:tplc="04190001">
      <w:start w:val="1"/>
      <w:numFmt w:val="bullet"/>
      <w:lvlText w:val=""/>
      <w:lvlJc w:val="left"/>
      <w:pPr>
        <w:tabs>
          <w:tab w:val="num" w:pos="1800"/>
        </w:tabs>
        <w:ind w:left="1800" w:hanging="360"/>
      </w:pPr>
      <w:rPr>
        <w:rFonts w:ascii="Symbol" w:hAnsi="Symbol" w:hint="default"/>
      </w:rPr>
    </w:lvl>
    <w:lvl w:ilvl="2" w:tplc="04190011">
      <w:start w:val="1"/>
      <w:numFmt w:val="decimal"/>
      <w:lvlText w:val="%3)"/>
      <w:lvlJc w:val="left"/>
      <w:pPr>
        <w:tabs>
          <w:tab w:val="num" w:pos="1080"/>
        </w:tabs>
        <w:ind w:left="1080" w:hanging="36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55281C7A"/>
    <w:multiLevelType w:val="hybridMultilevel"/>
    <w:tmpl w:val="41C214AA"/>
    <w:lvl w:ilvl="0" w:tplc="04190005">
      <w:start w:val="1"/>
      <w:numFmt w:val="bullet"/>
      <w:lvlText w:val=""/>
      <w:lvlJc w:val="left"/>
      <w:pPr>
        <w:tabs>
          <w:tab w:val="num" w:pos="1495"/>
        </w:tabs>
        <w:ind w:left="1495" w:hanging="360"/>
      </w:pPr>
      <w:rPr>
        <w:rFonts w:ascii="Wingdings" w:hAnsi="Wingdings" w:hint="default"/>
      </w:rPr>
    </w:lvl>
    <w:lvl w:ilvl="1" w:tplc="04190001">
      <w:start w:val="1"/>
      <w:numFmt w:val="bullet"/>
      <w:lvlText w:val=""/>
      <w:lvlJc w:val="left"/>
      <w:pPr>
        <w:tabs>
          <w:tab w:val="num" w:pos="1800"/>
        </w:tabs>
        <w:ind w:left="1800" w:hanging="360"/>
      </w:pPr>
      <w:rPr>
        <w:rFonts w:ascii="Symbol" w:hAnsi="Symbol" w:hint="default"/>
      </w:rPr>
    </w:lvl>
    <w:lvl w:ilvl="2" w:tplc="04190011">
      <w:start w:val="1"/>
      <w:numFmt w:val="decimal"/>
      <w:lvlText w:val="%3)"/>
      <w:lvlJc w:val="left"/>
      <w:pPr>
        <w:tabs>
          <w:tab w:val="num" w:pos="1080"/>
        </w:tabs>
        <w:ind w:left="1080" w:hanging="36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8A903FF"/>
    <w:multiLevelType w:val="hybridMultilevel"/>
    <w:tmpl w:val="95DCA174"/>
    <w:lvl w:ilvl="0" w:tplc="7150A96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9057CC"/>
    <w:multiLevelType w:val="hybridMultilevel"/>
    <w:tmpl w:val="5914DFBC"/>
    <w:lvl w:ilvl="0" w:tplc="7DAEF38E">
      <w:start w:val="1"/>
      <w:numFmt w:val="bullet"/>
      <w:lvlText w:val=""/>
      <w:lvlJc w:val="left"/>
      <w:pPr>
        <w:ind w:left="851" w:hanging="28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8B042C8"/>
    <w:multiLevelType w:val="hybridMultilevel"/>
    <w:tmpl w:val="854C584C"/>
    <w:lvl w:ilvl="0" w:tplc="0419000F">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1800"/>
        </w:tabs>
        <w:ind w:left="1800" w:hanging="360"/>
      </w:pPr>
      <w:rPr>
        <w:rFonts w:ascii="Symbol" w:hAnsi="Symbol" w:hint="default"/>
      </w:rPr>
    </w:lvl>
    <w:lvl w:ilvl="2" w:tplc="04190005">
      <w:start w:val="1"/>
      <w:numFmt w:val="bullet"/>
      <w:lvlText w:val=""/>
      <w:lvlJc w:val="left"/>
      <w:pPr>
        <w:tabs>
          <w:tab w:val="num" w:pos="1080"/>
        </w:tabs>
        <w:ind w:left="1080" w:hanging="360"/>
      </w:pPr>
      <w:rPr>
        <w:rFonts w:ascii="Wingdings" w:hAnsi="Wingdings" w:hint="default"/>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7A530DCA"/>
    <w:multiLevelType w:val="hybridMultilevel"/>
    <w:tmpl w:val="3FD40B20"/>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779"/>
        </w:tabs>
        <w:ind w:left="1779"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7CC8661A"/>
    <w:multiLevelType w:val="hybridMultilevel"/>
    <w:tmpl w:val="896C94BE"/>
    <w:lvl w:ilvl="0" w:tplc="7EB20A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E666A08"/>
    <w:multiLevelType w:val="hybridMultilevel"/>
    <w:tmpl w:val="065C4B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9"/>
  </w:num>
  <w:num w:numId="4">
    <w:abstractNumId w:val="2"/>
  </w:num>
  <w:num w:numId="5">
    <w:abstractNumId w:val="4"/>
  </w:num>
  <w:num w:numId="6">
    <w:abstractNumId w:val="8"/>
  </w:num>
  <w:num w:numId="7">
    <w:abstractNumId w:val="1"/>
  </w:num>
  <w:num w:numId="8">
    <w:abstractNumId w:val="5"/>
  </w:num>
  <w:num w:numId="9">
    <w:abstractNumId w:val="3"/>
  </w:num>
  <w:num w:numId="10">
    <w:abstractNumId w:val="0"/>
  </w:num>
  <w:num w:numId="11">
    <w:abstractNumId w:val="10"/>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EC"/>
    <w:rsid w:val="00004C02"/>
    <w:rsid w:val="00005245"/>
    <w:rsid w:val="00031C6B"/>
    <w:rsid w:val="00036173"/>
    <w:rsid w:val="00046A8F"/>
    <w:rsid w:val="000514F5"/>
    <w:rsid w:val="000544FA"/>
    <w:rsid w:val="00080C50"/>
    <w:rsid w:val="00082EAA"/>
    <w:rsid w:val="000A5255"/>
    <w:rsid w:val="000B0269"/>
    <w:rsid w:val="000B2BB0"/>
    <w:rsid w:val="000C6C05"/>
    <w:rsid w:val="000E38D8"/>
    <w:rsid w:val="00113511"/>
    <w:rsid w:val="00113534"/>
    <w:rsid w:val="00113940"/>
    <w:rsid w:val="00114F41"/>
    <w:rsid w:val="001358E3"/>
    <w:rsid w:val="00142169"/>
    <w:rsid w:val="00155A08"/>
    <w:rsid w:val="00177091"/>
    <w:rsid w:val="001811C6"/>
    <w:rsid w:val="00192264"/>
    <w:rsid w:val="001A0CC0"/>
    <w:rsid w:val="001C4905"/>
    <w:rsid w:val="001C6B2E"/>
    <w:rsid w:val="001C6C06"/>
    <w:rsid w:val="001D3A26"/>
    <w:rsid w:val="001D786C"/>
    <w:rsid w:val="001E463F"/>
    <w:rsid w:val="002033B4"/>
    <w:rsid w:val="002276C5"/>
    <w:rsid w:val="00230063"/>
    <w:rsid w:val="0027070A"/>
    <w:rsid w:val="00273E49"/>
    <w:rsid w:val="00276C26"/>
    <w:rsid w:val="0028352D"/>
    <w:rsid w:val="00294FAC"/>
    <w:rsid w:val="00296B60"/>
    <w:rsid w:val="002A3F63"/>
    <w:rsid w:val="002A45F3"/>
    <w:rsid w:val="002B26DD"/>
    <w:rsid w:val="002C009A"/>
    <w:rsid w:val="002C35B4"/>
    <w:rsid w:val="002D71CA"/>
    <w:rsid w:val="002E3030"/>
    <w:rsid w:val="002F6F45"/>
    <w:rsid w:val="003009E1"/>
    <w:rsid w:val="003017AD"/>
    <w:rsid w:val="0031729D"/>
    <w:rsid w:val="00343D31"/>
    <w:rsid w:val="003574BE"/>
    <w:rsid w:val="003606B2"/>
    <w:rsid w:val="00375E03"/>
    <w:rsid w:val="00376050"/>
    <w:rsid w:val="00380C55"/>
    <w:rsid w:val="00393468"/>
    <w:rsid w:val="003A413F"/>
    <w:rsid w:val="003A6D25"/>
    <w:rsid w:val="003B3DA2"/>
    <w:rsid w:val="003C17F9"/>
    <w:rsid w:val="003C1D3C"/>
    <w:rsid w:val="003E68A4"/>
    <w:rsid w:val="003F338A"/>
    <w:rsid w:val="003F440E"/>
    <w:rsid w:val="003F52C8"/>
    <w:rsid w:val="00404061"/>
    <w:rsid w:val="00406385"/>
    <w:rsid w:val="00415516"/>
    <w:rsid w:val="00417002"/>
    <w:rsid w:val="0042576E"/>
    <w:rsid w:val="00427A06"/>
    <w:rsid w:val="00430165"/>
    <w:rsid w:val="00440612"/>
    <w:rsid w:val="004734A6"/>
    <w:rsid w:val="004954B7"/>
    <w:rsid w:val="004C5649"/>
    <w:rsid w:val="004E2748"/>
    <w:rsid w:val="004E3F81"/>
    <w:rsid w:val="004F4C40"/>
    <w:rsid w:val="005038A8"/>
    <w:rsid w:val="00504E52"/>
    <w:rsid w:val="00517161"/>
    <w:rsid w:val="005400BB"/>
    <w:rsid w:val="005552AA"/>
    <w:rsid w:val="00564446"/>
    <w:rsid w:val="005970AE"/>
    <w:rsid w:val="005A6B59"/>
    <w:rsid w:val="005A6EE1"/>
    <w:rsid w:val="005B5575"/>
    <w:rsid w:val="005C2DA3"/>
    <w:rsid w:val="005D2855"/>
    <w:rsid w:val="005D75A5"/>
    <w:rsid w:val="005E0F39"/>
    <w:rsid w:val="005E4248"/>
    <w:rsid w:val="005F6552"/>
    <w:rsid w:val="006234CD"/>
    <w:rsid w:val="00624BAE"/>
    <w:rsid w:val="00633370"/>
    <w:rsid w:val="00634DEE"/>
    <w:rsid w:val="00644042"/>
    <w:rsid w:val="00662386"/>
    <w:rsid w:val="00665CE6"/>
    <w:rsid w:val="00671903"/>
    <w:rsid w:val="00677C9D"/>
    <w:rsid w:val="0069726A"/>
    <w:rsid w:val="006A3F30"/>
    <w:rsid w:val="006A4C3A"/>
    <w:rsid w:val="006B4F44"/>
    <w:rsid w:val="006B512C"/>
    <w:rsid w:val="006C4B9F"/>
    <w:rsid w:val="006F32EE"/>
    <w:rsid w:val="0070360F"/>
    <w:rsid w:val="007039B0"/>
    <w:rsid w:val="007050D5"/>
    <w:rsid w:val="00733A13"/>
    <w:rsid w:val="00734CC0"/>
    <w:rsid w:val="00735319"/>
    <w:rsid w:val="0073696A"/>
    <w:rsid w:val="00737AE6"/>
    <w:rsid w:val="00740C39"/>
    <w:rsid w:val="00744A55"/>
    <w:rsid w:val="00752A0A"/>
    <w:rsid w:val="00752F9B"/>
    <w:rsid w:val="00754CD2"/>
    <w:rsid w:val="00761E48"/>
    <w:rsid w:val="007824A3"/>
    <w:rsid w:val="007951AE"/>
    <w:rsid w:val="007954D6"/>
    <w:rsid w:val="007B4112"/>
    <w:rsid w:val="007C4DC4"/>
    <w:rsid w:val="007C62F4"/>
    <w:rsid w:val="007D05E7"/>
    <w:rsid w:val="007F2432"/>
    <w:rsid w:val="007F5EFA"/>
    <w:rsid w:val="00801E59"/>
    <w:rsid w:val="00802077"/>
    <w:rsid w:val="00816862"/>
    <w:rsid w:val="008254A3"/>
    <w:rsid w:val="0083395F"/>
    <w:rsid w:val="00870A4E"/>
    <w:rsid w:val="0088383E"/>
    <w:rsid w:val="008862D3"/>
    <w:rsid w:val="00896149"/>
    <w:rsid w:val="008A300E"/>
    <w:rsid w:val="008B499A"/>
    <w:rsid w:val="008D6983"/>
    <w:rsid w:val="008F74B2"/>
    <w:rsid w:val="00901BA3"/>
    <w:rsid w:val="0090552B"/>
    <w:rsid w:val="00921B19"/>
    <w:rsid w:val="0092552F"/>
    <w:rsid w:val="00931F72"/>
    <w:rsid w:val="00962520"/>
    <w:rsid w:val="009768EF"/>
    <w:rsid w:val="009938B1"/>
    <w:rsid w:val="00995050"/>
    <w:rsid w:val="009E2480"/>
    <w:rsid w:val="009E5BBE"/>
    <w:rsid w:val="00A211F0"/>
    <w:rsid w:val="00A36106"/>
    <w:rsid w:val="00A704F8"/>
    <w:rsid w:val="00A74F56"/>
    <w:rsid w:val="00A81DA6"/>
    <w:rsid w:val="00A854E5"/>
    <w:rsid w:val="00A93801"/>
    <w:rsid w:val="00AA1A60"/>
    <w:rsid w:val="00AA5E21"/>
    <w:rsid w:val="00AC1AF3"/>
    <w:rsid w:val="00AC2E4D"/>
    <w:rsid w:val="00AD0E84"/>
    <w:rsid w:val="00AE1837"/>
    <w:rsid w:val="00AE61A1"/>
    <w:rsid w:val="00B07BB0"/>
    <w:rsid w:val="00B17541"/>
    <w:rsid w:val="00B179AA"/>
    <w:rsid w:val="00B2440E"/>
    <w:rsid w:val="00B2787A"/>
    <w:rsid w:val="00B31FF9"/>
    <w:rsid w:val="00B57A95"/>
    <w:rsid w:val="00B773A7"/>
    <w:rsid w:val="00B77E6D"/>
    <w:rsid w:val="00B87707"/>
    <w:rsid w:val="00B92E2F"/>
    <w:rsid w:val="00BA240C"/>
    <w:rsid w:val="00BB12D8"/>
    <w:rsid w:val="00BC0025"/>
    <w:rsid w:val="00BC4FEC"/>
    <w:rsid w:val="00BC5466"/>
    <w:rsid w:val="00BD7148"/>
    <w:rsid w:val="00BE1629"/>
    <w:rsid w:val="00BE6564"/>
    <w:rsid w:val="00C20923"/>
    <w:rsid w:val="00C32998"/>
    <w:rsid w:val="00C60851"/>
    <w:rsid w:val="00C9030D"/>
    <w:rsid w:val="00CA3219"/>
    <w:rsid w:val="00CD6753"/>
    <w:rsid w:val="00CF0543"/>
    <w:rsid w:val="00CF29CC"/>
    <w:rsid w:val="00CF47A8"/>
    <w:rsid w:val="00CF7200"/>
    <w:rsid w:val="00D2461B"/>
    <w:rsid w:val="00D2550B"/>
    <w:rsid w:val="00D31688"/>
    <w:rsid w:val="00D321BF"/>
    <w:rsid w:val="00D35F7C"/>
    <w:rsid w:val="00D437ED"/>
    <w:rsid w:val="00D517CA"/>
    <w:rsid w:val="00D55C78"/>
    <w:rsid w:val="00D81AE7"/>
    <w:rsid w:val="00DA56FA"/>
    <w:rsid w:val="00DB6193"/>
    <w:rsid w:val="00DC7CDB"/>
    <w:rsid w:val="00DD2085"/>
    <w:rsid w:val="00DF43B2"/>
    <w:rsid w:val="00E050E0"/>
    <w:rsid w:val="00E6281C"/>
    <w:rsid w:val="00E7148A"/>
    <w:rsid w:val="00E7331F"/>
    <w:rsid w:val="00E82AD8"/>
    <w:rsid w:val="00EA6618"/>
    <w:rsid w:val="00ED0A93"/>
    <w:rsid w:val="00F00CA3"/>
    <w:rsid w:val="00F0642C"/>
    <w:rsid w:val="00F2193B"/>
    <w:rsid w:val="00F2753D"/>
    <w:rsid w:val="00F30794"/>
    <w:rsid w:val="00F32F5E"/>
    <w:rsid w:val="00F32FA1"/>
    <w:rsid w:val="00F54877"/>
    <w:rsid w:val="00F563C7"/>
    <w:rsid w:val="00F60885"/>
    <w:rsid w:val="00FB1B12"/>
    <w:rsid w:val="00FC5E05"/>
    <w:rsid w:val="00FF5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ind w:left="-108" w:firstLine="709"/>
      <w:jc w:val="center"/>
      <w:outlineLvl w:val="1"/>
    </w:pPr>
    <w:rPr>
      <w:i/>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character" w:customStyle="1" w:styleId="a5">
    <w:name w:val="Нижний колонтитул Знак"/>
    <w:link w:val="a4"/>
    <w:uiPriority w:val="99"/>
    <w:rsid w:val="00AC1AF3"/>
    <w:rPr>
      <w:sz w:val="24"/>
      <w:szCs w:val="24"/>
    </w:rPr>
  </w:style>
  <w:style w:type="paragraph" w:customStyle="1" w:styleId="a6">
    <w:name w:val="Кабинет"/>
    <w:basedOn w:val="a"/>
    <w:pPr>
      <w:jc w:val="center"/>
    </w:pPr>
  </w:style>
  <w:style w:type="paragraph" w:customStyle="1" w:styleId="a7">
    <w:name w:val="Должность"/>
    <w:basedOn w:val="a"/>
    <w:next w:val="a8"/>
    <w:rPr>
      <w:i/>
      <w:color w:val="000000"/>
    </w:rPr>
  </w:style>
  <w:style w:type="paragraph" w:customStyle="1" w:styleId="a8">
    <w:name w:val="ФИО"/>
    <w:basedOn w:val="a"/>
    <w:rPr>
      <w:b/>
    </w:rPr>
  </w:style>
  <w:style w:type="paragraph" w:customStyle="1" w:styleId="a9">
    <w:name w:val="Телефон"/>
    <w:basedOn w:val="a"/>
    <w:pPr>
      <w:jc w:val="center"/>
    </w:pPr>
    <w:rPr>
      <w:b/>
    </w:rPr>
  </w:style>
  <w:style w:type="character" w:styleId="aa">
    <w:name w:val="Hyperlink"/>
    <w:uiPriority w:val="99"/>
    <w:rPr>
      <w:color w:val="0000FF"/>
      <w:u w:val="single"/>
    </w:rPr>
  </w:style>
  <w:style w:type="paragraph" w:styleId="ab">
    <w:name w:val="Body Text"/>
    <w:basedOn w:val="a"/>
    <w:next w:val="a"/>
    <w:pPr>
      <w:jc w:val="both"/>
    </w:pPr>
    <w:rPr>
      <w:sz w:val="22"/>
    </w:rPr>
  </w:style>
  <w:style w:type="paragraph" w:customStyle="1" w:styleId="ac">
    <w:name w:val="Адресные реквизиты"/>
    <w:basedOn w:val="ab"/>
    <w:next w:val="ab"/>
    <w:pPr>
      <w:jc w:val="left"/>
    </w:pPr>
    <w:rPr>
      <w:sz w:val="16"/>
    </w:rPr>
  </w:style>
  <w:style w:type="paragraph" w:customStyle="1" w:styleId="ad">
    <w:name w:val="Обращение"/>
    <w:basedOn w:val="a"/>
    <w:next w:val="a"/>
    <w:uiPriority w:val="99"/>
    <w:pPr>
      <w:spacing w:before="240" w:after="120"/>
      <w:jc w:val="center"/>
    </w:pPr>
    <w:rPr>
      <w:sz w:val="26"/>
    </w:rPr>
  </w:style>
  <w:style w:type="paragraph" w:styleId="ae">
    <w:name w:val="Body Text Indent"/>
    <w:basedOn w:val="a"/>
    <w:pPr>
      <w:ind w:firstLine="709"/>
      <w:jc w:val="both"/>
    </w:pPr>
    <w:rPr>
      <w:sz w:val="28"/>
    </w:rPr>
  </w:style>
  <w:style w:type="paragraph" w:styleId="20">
    <w:name w:val="Body Text Indent 2"/>
    <w:basedOn w:val="a"/>
    <w:pPr>
      <w:ind w:left="-107"/>
    </w:pPr>
    <w:rPr>
      <w:sz w:val="20"/>
    </w:rPr>
  </w:style>
  <w:style w:type="paragraph" w:customStyle="1" w:styleId="af">
    <w:name w:val="Текст док"/>
    <w:basedOn w:val="a"/>
    <w:autoRedefine/>
    <w:rsid w:val="001811C6"/>
    <w:pPr>
      <w:tabs>
        <w:tab w:val="left" w:pos="0"/>
        <w:tab w:val="left" w:pos="540"/>
        <w:tab w:val="left" w:pos="1620"/>
      </w:tabs>
      <w:jc w:val="both"/>
    </w:pPr>
    <w:rPr>
      <w:sz w:val="28"/>
      <w:szCs w:val="28"/>
    </w:rPr>
  </w:style>
  <w:style w:type="paragraph" w:customStyle="1" w:styleId="af0">
    <w:name w:val="Исполнитель"/>
    <w:basedOn w:val="a"/>
    <w:autoRedefine/>
    <w:rsid w:val="000A5255"/>
    <w:pPr>
      <w:jc w:val="both"/>
    </w:pPr>
    <w:rPr>
      <w:sz w:val="28"/>
      <w:szCs w:val="28"/>
    </w:rPr>
  </w:style>
  <w:style w:type="character" w:styleId="af1">
    <w:name w:val="page number"/>
    <w:basedOn w:val="a0"/>
  </w:style>
  <w:style w:type="paragraph" w:styleId="af2">
    <w:name w:val="Balloon Text"/>
    <w:basedOn w:val="a"/>
    <w:semiHidden/>
    <w:rPr>
      <w:rFonts w:ascii="Tahoma" w:hAnsi="Tahoma" w:cs="Tahoma"/>
      <w:sz w:val="16"/>
      <w:szCs w:val="16"/>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styleId="30">
    <w:name w:val="Body Text Indent 3"/>
    <w:basedOn w:val="a"/>
    <w:pPr>
      <w:spacing w:after="120"/>
      <w:ind w:left="283"/>
    </w:pPr>
    <w:rPr>
      <w:sz w:val="16"/>
      <w:szCs w:val="16"/>
    </w:rPr>
  </w:style>
  <w:style w:type="paragraph" w:customStyle="1" w:styleId="af3">
    <w:name w:val="Подпись док"/>
    <w:basedOn w:val="1"/>
    <w:autoRedefine/>
    <w:pPr>
      <w:jc w:val="both"/>
    </w:pPr>
    <w:rPr>
      <w:szCs w:val="20"/>
    </w:rPr>
  </w:style>
  <w:style w:type="paragraph" w:customStyle="1" w:styleId="11">
    <w:name w:val="Знак1 Знак Знак Знак"/>
    <w:basedOn w:val="a"/>
    <w:rPr>
      <w:rFonts w:ascii="Verdana" w:hAnsi="Verdana" w:cs="Verdana"/>
      <w:sz w:val="20"/>
      <w:szCs w:val="20"/>
      <w:lang w:val="en-US" w:eastAsia="en-US"/>
    </w:rPr>
  </w:style>
  <w:style w:type="character" w:customStyle="1" w:styleId="news-title">
    <w:name w:val="news-title"/>
    <w:rPr>
      <w:b/>
      <w:bCs/>
      <w:color w:val="4E731C"/>
      <w:sz w:val="20"/>
      <w:szCs w:val="20"/>
    </w:rPr>
  </w:style>
  <w:style w:type="table" w:styleId="af4">
    <w:name w:val="Table Grid"/>
    <w:basedOn w:val="a1"/>
    <w:rsid w:val="008B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Адресат"/>
    <w:basedOn w:val="a"/>
    <w:rsid w:val="00CA3219"/>
    <w:pPr>
      <w:spacing w:before="120"/>
    </w:pPr>
    <w:rPr>
      <w:b/>
      <w:sz w:val="26"/>
      <w:szCs w:val="20"/>
      <w:lang w:val="en-US"/>
    </w:rPr>
  </w:style>
  <w:style w:type="character" w:styleId="af6">
    <w:name w:val="FollowedHyperlink"/>
    <w:basedOn w:val="a0"/>
    <w:uiPriority w:val="99"/>
    <w:rsid w:val="00BC4FEC"/>
    <w:rPr>
      <w:color w:val="954F72" w:themeColor="followedHyperlink"/>
      <w:u w:val="single"/>
    </w:rPr>
  </w:style>
  <w:style w:type="paragraph" w:customStyle="1" w:styleId="ConsPlusNormal">
    <w:name w:val="ConsPlusNormal"/>
    <w:rsid w:val="00380C55"/>
    <w:pPr>
      <w:widowControl w:val="0"/>
      <w:autoSpaceDE w:val="0"/>
      <w:autoSpaceDN w:val="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ind w:left="-108" w:firstLine="709"/>
      <w:jc w:val="center"/>
      <w:outlineLvl w:val="1"/>
    </w:pPr>
    <w:rPr>
      <w:i/>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character" w:customStyle="1" w:styleId="a5">
    <w:name w:val="Нижний колонтитул Знак"/>
    <w:link w:val="a4"/>
    <w:uiPriority w:val="99"/>
    <w:rsid w:val="00AC1AF3"/>
    <w:rPr>
      <w:sz w:val="24"/>
      <w:szCs w:val="24"/>
    </w:rPr>
  </w:style>
  <w:style w:type="paragraph" w:customStyle="1" w:styleId="a6">
    <w:name w:val="Кабинет"/>
    <w:basedOn w:val="a"/>
    <w:pPr>
      <w:jc w:val="center"/>
    </w:pPr>
  </w:style>
  <w:style w:type="paragraph" w:customStyle="1" w:styleId="a7">
    <w:name w:val="Должность"/>
    <w:basedOn w:val="a"/>
    <w:next w:val="a8"/>
    <w:rPr>
      <w:i/>
      <w:color w:val="000000"/>
    </w:rPr>
  </w:style>
  <w:style w:type="paragraph" w:customStyle="1" w:styleId="a8">
    <w:name w:val="ФИО"/>
    <w:basedOn w:val="a"/>
    <w:rPr>
      <w:b/>
    </w:rPr>
  </w:style>
  <w:style w:type="paragraph" w:customStyle="1" w:styleId="a9">
    <w:name w:val="Телефон"/>
    <w:basedOn w:val="a"/>
    <w:pPr>
      <w:jc w:val="center"/>
    </w:pPr>
    <w:rPr>
      <w:b/>
    </w:rPr>
  </w:style>
  <w:style w:type="character" w:styleId="aa">
    <w:name w:val="Hyperlink"/>
    <w:uiPriority w:val="99"/>
    <w:rPr>
      <w:color w:val="0000FF"/>
      <w:u w:val="single"/>
    </w:rPr>
  </w:style>
  <w:style w:type="paragraph" w:styleId="ab">
    <w:name w:val="Body Text"/>
    <w:basedOn w:val="a"/>
    <w:next w:val="a"/>
    <w:pPr>
      <w:jc w:val="both"/>
    </w:pPr>
    <w:rPr>
      <w:sz w:val="22"/>
    </w:rPr>
  </w:style>
  <w:style w:type="paragraph" w:customStyle="1" w:styleId="ac">
    <w:name w:val="Адресные реквизиты"/>
    <w:basedOn w:val="ab"/>
    <w:next w:val="ab"/>
    <w:pPr>
      <w:jc w:val="left"/>
    </w:pPr>
    <w:rPr>
      <w:sz w:val="16"/>
    </w:rPr>
  </w:style>
  <w:style w:type="paragraph" w:customStyle="1" w:styleId="ad">
    <w:name w:val="Обращение"/>
    <w:basedOn w:val="a"/>
    <w:next w:val="a"/>
    <w:uiPriority w:val="99"/>
    <w:pPr>
      <w:spacing w:before="240" w:after="120"/>
      <w:jc w:val="center"/>
    </w:pPr>
    <w:rPr>
      <w:sz w:val="26"/>
    </w:rPr>
  </w:style>
  <w:style w:type="paragraph" w:styleId="ae">
    <w:name w:val="Body Text Indent"/>
    <w:basedOn w:val="a"/>
    <w:pPr>
      <w:ind w:firstLine="709"/>
      <w:jc w:val="both"/>
    </w:pPr>
    <w:rPr>
      <w:sz w:val="28"/>
    </w:rPr>
  </w:style>
  <w:style w:type="paragraph" w:styleId="20">
    <w:name w:val="Body Text Indent 2"/>
    <w:basedOn w:val="a"/>
    <w:pPr>
      <w:ind w:left="-107"/>
    </w:pPr>
    <w:rPr>
      <w:sz w:val="20"/>
    </w:rPr>
  </w:style>
  <w:style w:type="paragraph" w:customStyle="1" w:styleId="af">
    <w:name w:val="Текст док"/>
    <w:basedOn w:val="a"/>
    <w:autoRedefine/>
    <w:rsid w:val="001811C6"/>
    <w:pPr>
      <w:tabs>
        <w:tab w:val="left" w:pos="0"/>
        <w:tab w:val="left" w:pos="540"/>
        <w:tab w:val="left" w:pos="1620"/>
      </w:tabs>
      <w:jc w:val="both"/>
    </w:pPr>
    <w:rPr>
      <w:sz w:val="28"/>
      <w:szCs w:val="28"/>
    </w:rPr>
  </w:style>
  <w:style w:type="paragraph" w:customStyle="1" w:styleId="af0">
    <w:name w:val="Исполнитель"/>
    <w:basedOn w:val="a"/>
    <w:autoRedefine/>
    <w:rsid w:val="000A5255"/>
    <w:pPr>
      <w:jc w:val="both"/>
    </w:pPr>
    <w:rPr>
      <w:sz w:val="28"/>
      <w:szCs w:val="28"/>
    </w:rPr>
  </w:style>
  <w:style w:type="character" w:styleId="af1">
    <w:name w:val="page number"/>
    <w:basedOn w:val="a0"/>
  </w:style>
  <w:style w:type="paragraph" w:styleId="af2">
    <w:name w:val="Balloon Text"/>
    <w:basedOn w:val="a"/>
    <w:semiHidden/>
    <w:rPr>
      <w:rFonts w:ascii="Tahoma" w:hAnsi="Tahoma" w:cs="Tahoma"/>
      <w:sz w:val="16"/>
      <w:szCs w:val="16"/>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styleId="30">
    <w:name w:val="Body Text Indent 3"/>
    <w:basedOn w:val="a"/>
    <w:pPr>
      <w:spacing w:after="120"/>
      <w:ind w:left="283"/>
    </w:pPr>
    <w:rPr>
      <w:sz w:val="16"/>
      <w:szCs w:val="16"/>
    </w:rPr>
  </w:style>
  <w:style w:type="paragraph" w:customStyle="1" w:styleId="af3">
    <w:name w:val="Подпись док"/>
    <w:basedOn w:val="1"/>
    <w:autoRedefine/>
    <w:pPr>
      <w:jc w:val="both"/>
    </w:pPr>
    <w:rPr>
      <w:szCs w:val="20"/>
    </w:rPr>
  </w:style>
  <w:style w:type="paragraph" w:customStyle="1" w:styleId="11">
    <w:name w:val="Знак1 Знак Знак Знак"/>
    <w:basedOn w:val="a"/>
    <w:rPr>
      <w:rFonts w:ascii="Verdana" w:hAnsi="Verdana" w:cs="Verdana"/>
      <w:sz w:val="20"/>
      <w:szCs w:val="20"/>
      <w:lang w:val="en-US" w:eastAsia="en-US"/>
    </w:rPr>
  </w:style>
  <w:style w:type="character" w:customStyle="1" w:styleId="news-title">
    <w:name w:val="news-title"/>
    <w:rPr>
      <w:b/>
      <w:bCs/>
      <w:color w:val="4E731C"/>
      <w:sz w:val="20"/>
      <w:szCs w:val="20"/>
    </w:rPr>
  </w:style>
  <w:style w:type="table" w:styleId="af4">
    <w:name w:val="Table Grid"/>
    <w:basedOn w:val="a1"/>
    <w:rsid w:val="008B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Адресат"/>
    <w:basedOn w:val="a"/>
    <w:rsid w:val="00CA3219"/>
    <w:pPr>
      <w:spacing w:before="120"/>
    </w:pPr>
    <w:rPr>
      <w:b/>
      <w:sz w:val="26"/>
      <w:szCs w:val="20"/>
      <w:lang w:val="en-US"/>
    </w:rPr>
  </w:style>
  <w:style w:type="character" w:styleId="af6">
    <w:name w:val="FollowedHyperlink"/>
    <w:basedOn w:val="a0"/>
    <w:uiPriority w:val="99"/>
    <w:rsid w:val="00BC4FEC"/>
    <w:rPr>
      <w:color w:val="954F72" w:themeColor="followedHyperlink"/>
      <w:u w:val="single"/>
    </w:rPr>
  </w:style>
  <w:style w:type="paragraph" w:customStyle="1" w:styleId="ConsPlusNormal">
    <w:name w:val="ConsPlusNormal"/>
    <w:rsid w:val="00380C55"/>
    <w:pPr>
      <w:widowControl w:val="0"/>
      <w:autoSpaceDE w:val="0"/>
      <w:autoSpaceDN w:val="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3456">
      <w:bodyDiv w:val="1"/>
      <w:marLeft w:val="0"/>
      <w:marRight w:val="0"/>
      <w:marTop w:val="0"/>
      <w:marBottom w:val="0"/>
      <w:divBdr>
        <w:top w:val="none" w:sz="0" w:space="0" w:color="auto"/>
        <w:left w:val="none" w:sz="0" w:space="0" w:color="auto"/>
        <w:bottom w:val="none" w:sz="0" w:space="0" w:color="auto"/>
        <w:right w:val="none" w:sz="0" w:space="0" w:color="auto"/>
      </w:divBdr>
    </w:div>
    <w:div w:id="581574485">
      <w:bodyDiv w:val="1"/>
      <w:marLeft w:val="0"/>
      <w:marRight w:val="0"/>
      <w:marTop w:val="0"/>
      <w:marBottom w:val="0"/>
      <w:divBdr>
        <w:top w:val="none" w:sz="0" w:space="0" w:color="auto"/>
        <w:left w:val="none" w:sz="0" w:space="0" w:color="auto"/>
        <w:bottom w:val="none" w:sz="0" w:space="0" w:color="auto"/>
        <w:right w:val="none" w:sz="0" w:space="0" w:color="auto"/>
      </w:divBdr>
    </w:div>
    <w:div w:id="100201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1041;&#1083;&#1072;&#1085;&#1082;%20&#1044;&#1058;&#105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D7CC3-2D00-40F3-859F-CDCC491F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ДТР.dot</Template>
  <TotalTime>1</TotalTime>
  <Pages>6</Pages>
  <Words>3275</Words>
  <Characters>18668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При</vt:lpstr>
    </vt:vector>
  </TitlesOfParts>
  <Company>Home</Company>
  <LinksUpToDate>false</LinksUpToDate>
  <CharactersWithSpaces>21900</CharactersWithSpaces>
  <SharedDoc>false</SharedDoc>
  <HLinks>
    <vt:vector size="6" baseType="variant">
      <vt:variant>
        <vt:i4>6619149</vt:i4>
      </vt:variant>
      <vt:variant>
        <vt:i4>2</vt:i4>
      </vt:variant>
      <vt:variant>
        <vt:i4>0</vt:i4>
      </vt:variant>
      <vt:variant>
        <vt:i4>5</vt:i4>
      </vt:variant>
      <vt:variant>
        <vt:lpwstr>mailto:dtr@tomsk.gov.ru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dc:title>
  <dc:creator>Плотников С.К.</dc:creator>
  <cp:lastModifiedBy>Давидович А.А.</cp:lastModifiedBy>
  <cp:revision>3</cp:revision>
  <cp:lastPrinted>2016-04-21T06:49:00Z</cp:lastPrinted>
  <dcterms:created xsi:type="dcterms:W3CDTF">2016-04-21T11:04:00Z</dcterms:created>
  <dcterms:modified xsi:type="dcterms:W3CDTF">2016-04-21T11:05:00Z</dcterms:modified>
</cp:coreProperties>
</file>